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18"/>
          <w:szCs w:val="21"/>
          <w:lang w:val="en-US" w:eastAsia="zh-CN"/>
        </w:rPr>
      </w:pPr>
      <w:bookmarkStart w:id="0" w:name="_GoBack"/>
      <w:bookmarkEnd w:id="0"/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44"/>
          <w:lang w:val="en-US" w:eastAsia="zh-CN"/>
        </w:rPr>
        <w:t>今天乐当小橘农 明天敢创大世界</w:t>
      </w:r>
    </w:p>
    <w:p>
      <w:pPr>
        <w:ind w:firstLine="2800" w:firstLineChars="1000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>——三峡国家柑橘公园研学实践教育基地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课程名称</w:t>
      </w:r>
    </w:p>
    <w:p>
      <w:pPr>
        <w:numPr>
          <w:ilvl w:val="0"/>
          <w:numId w:val="0"/>
        </w:numPr>
        <w:ind w:firstLine="560" w:firstLineChars="200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>我给橘树做手术-嫁接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研学内容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default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知晓柑橘品种的演化和演变过程；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知晓柑橘繁育和其它水果的不同之处；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知晓柑橘嫁接育苗的三种方法。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研学目标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了解柑橘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嫁接育苗可利用砧木根系的广泛适应性，达到早成园，早丰产的目的。砧木可选用枳、枳橙等适宜当地生态条件的品种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了解柑橘嫁接的三种方法：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切接法、腹接法及芽接法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动手实践用切接法给枝苗嫁接。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研学时长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180分钟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推荐学段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初中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研学地点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国家柑橘公园精品苗木基地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配备师资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以班级分组(约50人)，每组一名研学导师、一名助教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研学用具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0" w:firstLineChars="0"/>
        <w:textAlignment w:val="auto"/>
        <w:outlineLvl w:val="9"/>
        <w:rPr>
          <w:rFonts w:hint="default" w:ascii="方正仿宋_GB2312" w:hAnsi="方正仿宋_GB2312" w:eastAsia="方正仿宋_GB2312" w:cs="方正仿宋_GB2312"/>
          <w:b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嫁接刀、薄膜带、柑橘枝条、砧桩；橘树嫁接方法技术图解。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研学流程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default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知识导入：柑橘品种繁多，柑橘新品种是怎么培育的；找到柑橘和其它水果繁育的差异。（30分钟）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default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实践探究：演示橘苗嫁接的方法。如何选择嫁接的具体位置，如何用刀，薄膜带缠绕的标准；并与人类做手术做形象类比。（30分钟）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成果展示：按10人一套工具分组，发放工具和物料。熟悉工具，掌握用途，确定小组实践顺序，依次实操。导师循环现场指导、矫正。研学成果可以带回家继续观察。（90分钟）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88" w:lineRule="auto"/>
        <w:ind w:firstLine="560" w:firstLineChars="200"/>
        <w:textAlignment w:val="auto"/>
        <w:outlineLvl w:val="9"/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效果评价：对研学内容掌握的程度、好坏进行评价。（30分钟）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36"/>
          <w:lang w:val="en-US" w:eastAsia="zh-CN"/>
        </w:rPr>
        <w:t>研学评价</w:t>
      </w:r>
    </w:p>
    <w:p>
      <w:pPr>
        <w:numPr>
          <w:ilvl w:val="0"/>
          <w:numId w:val="0"/>
        </w:numPr>
        <w:rPr>
          <w:rFonts w:hint="default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36"/>
          <w:lang w:val="en-US" w:eastAsia="zh-CN"/>
        </w:rPr>
        <w:t xml:space="preserve">    按照《宜昌市研学旅行评价试行办法》规定，给予ABCD分档评价。</w:t>
      </w:r>
    </w:p>
    <w:p/>
    <w:p/>
    <w:p>
      <w:r>
        <w:rPr>
          <w:rFonts w:hint="eastAsia" w:eastAsiaTheme="minorEastAsia"/>
          <w:lang w:eastAsia="zh-CN"/>
        </w:rPr>
        <w:drawing>
          <wp:anchor distT="0" distB="0" distL="114935" distR="114935" simplePos="0" relativeHeight="251663360" behindDoc="0" locked="0" layoutInCell="1" allowOverlap="1">
            <wp:simplePos x="0" y="0"/>
            <wp:positionH relativeFrom="column">
              <wp:posOffset>2714625</wp:posOffset>
            </wp:positionH>
            <wp:positionV relativeFrom="paragraph">
              <wp:posOffset>128905</wp:posOffset>
            </wp:positionV>
            <wp:extent cx="2863215" cy="1979930"/>
            <wp:effectExtent l="9525" t="9525" r="10160" b="17145"/>
            <wp:wrapNone/>
            <wp:docPr id="6" name="图片 6" descr="43_180624223616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3_180624223616_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3215" cy="1979930"/>
                    </a:xfrm>
                    <a:prstGeom prst="round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935" distR="114935" simplePos="0" relativeHeight="251662336" behindDoc="0" locked="0" layoutInCell="1" allowOverlap="1">
            <wp:simplePos x="0" y="0"/>
            <wp:positionH relativeFrom="column">
              <wp:posOffset>-349250</wp:posOffset>
            </wp:positionH>
            <wp:positionV relativeFrom="paragraph">
              <wp:posOffset>120650</wp:posOffset>
            </wp:positionV>
            <wp:extent cx="3000375" cy="1979930"/>
            <wp:effectExtent l="9525" t="9525" r="12700" b="17145"/>
            <wp:wrapNone/>
            <wp:docPr id="5" name="图片 5" descr="timgXG2CKR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timgXG2CKR4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1979930"/>
                    </a:xfrm>
                    <a:prstGeom prst="round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eastAsiaTheme="minorEastAsia"/>
          <w:lang w:eastAsia="zh-CN"/>
        </w:rPr>
      </w:pPr>
    </w:p>
    <w:p>
      <w:pPr>
        <w:jc w:val="left"/>
      </w:pPr>
    </w:p>
    <w:p>
      <w:pPr>
        <w:jc w:val="center"/>
        <w:rPr>
          <w:rFonts w:hint="eastAsia" w:ascii="方正仿宋_GB2312" w:hAnsi="方正仿宋_GB2312" w:cs="方正仿宋_GB2312" w:eastAsiaTheme="minorEastAsia"/>
          <w:b w:val="0"/>
          <w:bCs w:val="0"/>
          <w:sz w:val="28"/>
          <w:szCs w:val="36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E4454A4D-8CD3-431A-9695-B5BA3F4C5F02}"/>
  </w:font>
  <w:font w:name="方正小标宋_GBK"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2" w:fontKey="{97841DDF-EC16-4993-8D55-CD3007BE90DA}"/>
  </w:font>
  <w:font w:name="方正仿宋_GB2312">
    <w:panose1 w:val="02000000000000000000"/>
    <w:charset w:val="86"/>
    <w:family w:val="auto"/>
    <w:pitch w:val="default"/>
    <w:sig w:usb0="00000000" w:usb1="00000000" w:usb2="00000000" w:usb3="00000000" w:csb0="00000000" w:csb1="00000000"/>
    <w:embedRegular r:id="rId3" w:fontKey="{A30C16B0-8C7F-4210-A4EF-292D51296868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5268595" cy="96520"/>
          <wp:effectExtent l="0" t="0" r="1905" b="5080"/>
          <wp:docPr id="2" name="图片 2" descr="公文文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公文文脚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8595" cy="96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5262880" cy="546100"/>
          <wp:effectExtent l="0" t="0" r="7620" b="0"/>
          <wp:docPr id="1" name="图片 1" descr="公文文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公文文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62880" cy="546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A1D6B8"/>
    <w:multiLevelType w:val="singleLevel"/>
    <w:tmpl w:val="8CA1D6B8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CF69647A"/>
    <w:multiLevelType w:val="singleLevel"/>
    <w:tmpl w:val="CF69647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821128F"/>
    <w:multiLevelType w:val="singleLevel"/>
    <w:tmpl w:val="0821128F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755DDEC4"/>
    <w:multiLevelType w:val="singleLevel"/>
    <w:tmpl w:val="755DDEC4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024334"/>
    <w:rsid w:val="21F5646A"/>
    <w:rsid w:val="2A1F393B"/>
    <w:rsid w:val="37EA0496"/>
    <w:rsid w:val="44015F97"/>
    <w:rsid w:val="56055C07"/>
    <w:rsid w:val="5D1C73EE"/>
    <w:rsid w:val="7FB5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41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2020-08-18T01:29:00Z</dcterms:created>
  <dc:creator>Valia</dc:creator>
  <cp:lastModifiedBy>曾旭</cp:lastModifiedBy>
  <dcterms:modified xsi:type="dcterms:W3CDTF">2020-09-18T03:26:36Z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