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仿宋" w:hAnsi="仿宋" w:eastAsia="仿宋"/>
          <w:sz w:val="28"/>
          <w:szCs w:val="28"/>
          <w:lang w:val="en-US"/>
        </w:rPr>
      </w:pPr>
      <w:r>
        <w:rPr>
          <w:rFonts w:hint="eastAsia" w:ascii="仿宋" w:hAnsi="仿宋" w:eastAsia="仿宋"/>
          <w:b/>
          <w:sz w:val="28"/>
          <w:szCs w:val="28"/>
          <w:lang w:val="en-US" w:eastAsia="zh-CN"/>
        </w:rPr>
        <w:t>十指造皮影 灯下演人生</w:t>
      </w:r>
    </w:p>
    <w:p>
      <w:pPr>
        <w:jc w:val="center"/>
        <w:rPr>
          <w:rFonts w:ascii="仿宋" w:hAnsi="仿宋" w:eastAsia="仿宋"/>
          <w:sz w:val="28"/>
          <w:szCs w:val="28"/>
        </w:rPr>
      </w:pPr>
      <w:r>
        <w:rPr>
          <w:rFonts w:hint="eastAsia" w:ascii="仿宋" w:hAnsi="仿宋" w:eastAsia="仿宋"/>
          <w:sz w:val="28"/>
          <w:szCs w:val="28"/>
        </w:rPr>
        <w:t>----</w:t>
      </w:r>
      <w:r>
        <w:rPr>
          <w:rFonts w:hint="eastAsia" w:ascii="仿宋" w:hAnsi="仿宋" w:eastAsia="仿宋"/>
          <w:sz w:val="28"/>
          <w:szCs w:val="28"/>
          <w:lang w:val="en-US" w:eastAsia="zh-CN"/>
        </w:rPr>
        <w:t>三峡人家研学</w:t>
      </w:r>
      <w:r>
        <w:rPr>
          <w:rFonts w:ascii="仿宋" w:hAnsi="仿宋" w:eastAsia="仿宋"/>
          <w:sz w:val="28"/>
          <w:szCs w:val="28"/>
        </w:rPr>
        <w:t>基地</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sz w:val="28"/>
          <w:szCs w:val="28"/>
          <w:lang w:val="en-US" w:eastAsia="zh-CN"/>
        </w:rPr>
      </w:pPr>
      <w:r>
        <w:rPr>
          <w:rFonts w:ascii="仿宋" w:hAnsi="仿宋" w:eastAsia="仿宋"/>
          <w:b/>
          <w:sz w:val="28"/>
          <w:szCs w:val="28"/>
        </w:rPr>
        <w:t>一</w:t>
      </w:r>
      <w:r>
        <w:rPr>
          <w:rFonts w:hint="eastAsia" w:ascii="仿宋" w:hAnsi="仿宋" w:eastAsia="仿宋"/>
          <w:b/>
          <w:sz w:val="28"/>
          <w:szCs w:val="28"/>
        </w:rPr>
        <w:t>、</w:t>
      </w:r>
      <w:r>
        <w:rPr>
          <w:rFonts w:ascii="仿宋" w:hAnsi="仿宋" w:eastAsia="仿宋"/>
          <w:b/>
          <w:sz w:val="28"/>
          <w:szCs w:val="28"/>
        </w:rPr>
        <w:t>课程名称</w:t>
      </w:r>
      <w:r>
        <w:rPr>
          <w:rFonts w:hint="eastAsia" w:ascii="仿宋" w:hAnsi="仿宋" w:eastAsia="仿宋"/>
          <w:b/>
          <w:sz w:val="28"/>
          <w:szCs w:val="28"/>
        </w:rPr>
        <w:t>：</w:t>
      </w:r>
      <w:r>
        <w:rPr>
          <w:rFonts w:hint="eastAsia" w:ascii="仿宋" w:hAnsi="仿宋" w:eastAsia="仿宋"/>
          <w:b w:val="0"/>
          <w:bCs/>
          <w:sz w:val="28"/>
          <w:szCs w:val="28"/>
          <w:lang w:val="en-US" w:eastAsia="zh-CN"/>
        </w:rPr>
        <w:t>十指造皮影 灯下演人生</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b/>
          <w:sz w:val="28"/>
          <w:szCs w:val="28"/>
        </w:rPr>
      </w:pPr>
      <w:r>
        <w:rPr>
          <w:rFonts w:ascii="仿宋" w:hAnsi="仿宋" w:eastAsia="仿宋"/>
          <w:b/>
          <w:sz w:val="28"/>
          <w:szCs w:val="28"/>
        </w:rPr>
        <w:t>二</w:t>
      </w:r>
      <w:r>
        <w:rPr>
          <w:rFonts w:hint="eastAsia" w:ascii="仿宋" w:hAnsi="仿宋" w:eastAsia="仿宋"/>
          <w:b/>
          <w:sz w:val="28"/>
          <w:szCs w:val="28"/>
        </w:rPr>
        <w:t>、</w:t>
      </w:r>
      <w:r>
        <w:rPr>
          <w:rFonts w:ascii="仿宋" w:hAnsi="仿宋" w:eastAsia="仿宋"/>
          <w:b/>
          <w:sz w:val="28"/>
          <w:szCs w:val="28"/>
        </w:rPr>
        <w:t>课程内容</w:t>
      </w:r>
      <w:r>
        <w:rPr>
          <w:rFonts w:hint="eastAsia" w:ascii="仿宋" w:hAnsi="仿宋" w:eastAsia="仿宋"/>
          <w:b/>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b w:val="0"/>
          <w:bCs/>
          <w:sz w:val="28"/>
          <w:szCs w:val="28"/>
          <w:lang w:val="en-US" w:eastAsia="zh-CN"/>
        </w:rPr>
      </w:pPr>
      <w:r>
        <w:rPr>
          <w:rFonts w:hint="eastAsia" w:ascii="仿宋" w:hAnsi="仿宋" w:eastAsia="仿宋"/>
          <w:b w:val="0"/>
          <w:bCs/>
          <w:sz w:val="28"/>
          <w:szCs w:val="28"/>
          <w:lang w:val="en-US" w:eastAsia="zh-CN"/>
        </w:rPr>
        <w:t>皮影戏是以皮质做成各种形状，通过烛光、灯光等光源，将影像投到白色幕布上，表演各种剧目，又称灯影戏。皮影戏从2000多年前就有记载，《汉书》记载汉武帝观看已逝爱妃形象的灯影来缓解思念之情。皮影戏始于西汉，兴于唐朝，盛于清朝，元朝时期传至西亚和欧洲，极大丰富了当时人民群众的文化活动，也促进了中国和世界的文化交流。</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b w:val="0"/>
          <w:bCs/>
          <w:sz w:val="28"/>
          <w:szCs w:val="28"/>
          <w:lang w:val="en-US" w:eastAsia="zh-CN"/>
        </w:rPr>
      </w:pPr>
      <w:r>
        <w:rPr>
          <w:rFonts w:hint="eastAsia" w:ascii="仿宋" w:hAnsi="仿宋" w:eastAsia="仿宋"/>
          <w:b w:val="0"/>
          <w:bCs/>
          <w:sz w:val="28"/>
          <w:szCs w:val="28"/>
          <w:lang w:val="en-US" w:eastAsia="zh-CN"/>
        </w:rPr>
        <w:t>2006年5月20日，皮影戏列入第一批国家级非物质文化遗产名录，2011年11月27日，中国皮影戏列入“人类非物质文化遗产代表作名录”。</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i w:val="0"/>
          <w:caps w:val="0"/>
          <w:color w:val="FF6600"/>
          <w:spacing w:val="0"/>
          <w:sz w:val="28"/>
          <w:szCs w:val="28"/>
          <w:u w:val="none"/>
          <w:bdr w:val="none" w:color="auto" w:sz="0" w:space="0"/>
        </w:rPr>
      </w:pPr>
      <w:r>
        <w:rPr>
          <w:rFonts w:hint="eastAsia" w:ascii="宋体" w:hAnsi="宋体" w:eastAsia="宋体" w:cs="宋体"/>
          <w:b/>
          <w:i w:val="0"/>
          <w:caps w:val="0"/>
          <w:color w:val="FF6600"/>
          <w:spacing w:val="0"/>
          <w:sz w:val="28"/>
          <w:szCs w:val="28"/>
          <w:u w:val="none"/>
          <w:bdr w:val="none" w:color="auto" w:sz="0" w:space="0"/>
        </w:rPr>
        <w:drawing>
          <wp:inline distT="0" distB="0" distL="114300" distR="114300">
            <wp:extent cx="5255895" cy="3512820"/>
            <wp:effectExtent l="0" t="0" r="1905" b="1143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4"/>
                    <a:srcRect t="10889"/>
                    <a:stretch>
                      <a:fillRect/>
                    </a:stretch>
                  </pic:blipFill>
                  <pic:spPr>
                    <a:xfrm>
                      <a:off x="0" y="0"/>
                      <a:ext cx="5255895" cy="3512820"/>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b w:val="0"/>
          <w:bCs/>
          <w:sz w:val="28"/>
          <w:szCs w:val="28"/>
          <w:lang w:val="en-US" w:eastAsia="zh-CN"/>
        </w:rPr>
      </w:pPr>
      <w:r>
        <w:rPr>
          <w:rFonts w:hint="eastAsia" w:ascii="仿宋" w:hAnsi="仿宋" w:eastAsia="仿宋"/>
          <w:b w:val="0"/>
          <w:bCs/>
          <w:sz w:val="28"/>
          <w:szCs w:val="28"/>
          <w:lang w:val="en-US" w:eastAsia="zh-CN"/>
        </w:rPr>
        <w:t>长江三峡最精华的“两坝一峡”中的“一峡”指的就是三峡人家研学基地所在的灯影峡。每当太阳到达一定角度，光和影达到一个巧妙的平衡，这时，峡黑天白，以峡为影以天为幕，天江之间上演一出西天取经的灯影戏，灯影峡也应此得名。郭沫若先生路过此地，亲见此景，留下了“唐僧师徒立山头, 灯影联翩猪与猴”的佳句。</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b w:val="0"/>
          <w:bCs/>
          <w:sz w:val="28"/>
          <w:szCs w:val="28"/>
          <w:lang w:val="en-US" w:eastAsia="zh-CN"/>
        </w:rPr>
      </w:pPr>
      <w:r>
        <w:rPr>
          <w:rFonts w:hint="eastAsia" w:ascii="仿宋" w:hAnsi="仿宋" w:eastAsia="仿宋"/>
          <w:b w:val="0"/>
          <w:bCs/>
          <w:sz w:val="28"/>
          <w:szCs w:val="28"/>
          <w:lang w:val="en-US" w:eastAsia="zh-CN"/>
        </w:rPr>
        <w:t>三峡人家研学基地特邀著名的皮影戏班长期驻演，使学生们近距离感受传承千年的文化遗产。</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b w:val="0"/>
          <w:bCs/>
          <w:sz w:val="28"/>
          <w:szCs w:val="28"/>
          <w:lang w:val="en-US" w:eastAsia="zh-CN"/>
        </w:rPr>
      </w:pPr>
      <w:r>
        <w:rPr>
          <w:rFonts w:hint="eastAsia" w:ascii="仿宋" w:hAnsi="仿宋" w:eastAsia="仿宋"/>
          <w:b w:val="0"/>
          <w:bCs/>
          <w:sz w:val="28"/>
          <w:szCs w:val="28"/>
          <w:lang w:val="en-US" w:eastAsia="zh-CN"/>
        </w:rPr>
        <w:t>重点：皮影的制作和演绎。</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b w:val="0"/>
          <w:bCs/>
          <w:sz w:val="28"/>
          <w:szCs w:val="28"/>
          <w:lang w:val="en-US" w:eastAsia="zh-CN"/>
        </w:rPr>
      </w:pPr>
      <w:r>
        <w:rPr>
          <w:rFonts w:hint="eastAsia" w:ascii="仿宋" w:hAnsi="仿宋" w:eastAsia="仿宋"/>
          <w:b w:val="0"/>
          <w:bCs/>
          <w:sz w:val="28"/>
          <w:szCs w:val="28"/>
          <w:lang w:val="en-US" w:eastAsia="zh-CN"/>
        </w:rPr>
        <w:t>难点：皮影各骨眼（皮影各部位连接处）连接要不断进行微调，使皮影活动起来达到最好状态，考验学生的细心和耐心。学生根据皮影角色即兴创作表演考验学生的知识储备和临场发挥能力。</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ascii="仿宋" w:hAnsi="仿宋" w:eastAsia="仿宋"/>
          <w:b/>
          <w:sz w:val="28"/>
          <w:szCs w:val="28"/>
        </w:rPr>
      </w:pPr>
      <w:r>
        <w:rPr>
          <w:rFonts w:ascii="仿宋" w:hAnsi="仿宋" w:eastAsia="仿宋"/>
          <w:b/>
          <w:sz w:val="28"/>
          <w:szCs w:val="28"/>
        </w:rPr>
        <w:t>课程目标</w:t>
      </w:r>
      <w:r>
        <w:rPr>
          <w:rFonts w:hint="eastAsia" w:ascii="仿宋" w:hAnsi="仿宋" w:eastAsia="仿宋"/>
          <w:b/>
          <w:sz w:val="28"/>
          <w:szCs w:val="28"/>
        </w:rPr>
        <w:t>：</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Chars="0"/>
        <w:textAlignment w:val="auto"/>
        <w:rPr>
          <w:rFonts w:hint="eastAsia" w:ascii="仿宋" w:hAnsi="仿宋" w:eastAsia="仿宋"/>
          <w:b w:val="0"/>
          <w:bCs/>
          <w:sz w:val="28"/>
          <w:szCs w:val="28"/>
          <w:lang w:eastAsia="zh-CN"/>
        </w:rPr>
      </w:pPr>
      <w:r>
        <w:rPr>
          <w:rFonts w:hint="eastAsia" w:ascii="仿宋" w:hAnsi="仿宋" w:eastAsia="仿宋"/>
          <w:b w:val="0"/>
          <w:bCs/>
          <w:sz w:val="28"/>
          <w:szCs w:val="28"/>
          <w:lang w:eastAsia="zh-CN"/>
        </w:rPr>
        <w:t>价值认同：</w:t>
      </w:r>
      <w:r>
        <w:rPr>
          <w:rFonts w:hint="eastAsia" w:ascii="仿宋" w:hAnsi="仿宋" w:eastAsia="仿宋"/>
          <w:b w:val="0"/>
          <w:bCs/>
          <w:sz w:val="28"/>
          <w:szCs w:val="28"/>
          <w:lang w:val="en-US" w:eastAsia="zh-CN"/>
        </w:rPr>
        <w:t>中国皮影戏是世界上最早的由人进行配音配乐的活动影画艺术，是电影、动画片及很多戏曲唱腔的祖先。以皮影戏为代表的中华文明源远流长，我们至今还能看懂几千年前的文字，用着和几千年前一样的瓷器、筷子。我们的文明一脉相承，无论你来自哪个民族，无论身处哪个国家，只要是中华文明的传人，我们就是血浓于水的同胞，我们都是中国人。</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Chars="0"/>
        <w:textAlignment w:val="auto"/>
        <w:rPr>
          <w:rFonts w:hint="eastAsia" w:ascii="仿宋" w:hAnsi="仿宋" w:eastAsia="仿宋"/>
          <w:b w:val="0"/>
          <w:bCs/>
          <w:sz w:val="28"/>
          <w:szCs w:val="28"/>
          <w:lang w:eastAsia="zh-CN"/>
        </w:rPr>
      </w:pPr>
      <w:r>
        <w:rPr>
          <w:rFonts w:hint="eastAsia" w:ascii="仿宋" w:hAnsi="仿宋" w:eastAsia="仿宋"/>
          <w:b w:val="0"/>
          <w:bCs/>
          <w:sz w:val="28"/>
          <w:szCs w:val="28"/>
          <w:lang w:eastAsia="zh-CN"/>
        </w:rPr>
        <w:t>责任担当：</w:t>
      </w:r>
      <w:r>
        <w:rPr>
          <w:rFonts w:hint="eastAsia" w:ascii="仿宋" w:hAnsi="仿宋" w:eastAsia="仿宋"/>
          <w:b w:val="0"/>
          <w:bCs/>
          <w:sz w:val="28"/>
          <w:szCs w:val="28"/>
          <w:lang w:val="en-US" w:eastAsia="zh-CN"/>
        </w:rPr>
        <w:t>中华上下5000年，文化从未中断，历史上曾涌现出无数文化瑰宝，它们盛极一时，却又销声匿迹，我们每每回首，无不扼腕叹息，前人不暇自哀,而后人哀之;后人哀之而不鉴之,亦使后人而复哀后人也。我们要担起我们这代人的责任，保护好前人的艺术并传承下去，让我们的子孙后代随时能看到听到自己祖辈们传颂千年的音画。</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Chars="0"/>
        <w:textAlignment w:val="auto"/>
        <w:rPr>
          <w:rFonts w:hint="eastAsia" w:ascii="仿宋" w:hAnsi="仿宋" w:eastAsia="仿宋"/>
          <w:b w:val="0"/>
          <w:bCs/>
          <w:sz w:val="28"/>
          <w:szCs w:val="28"/>
          <w:lang w:eastAsia="zh-CN"/>
        </w:rPr>
      </w:pPr>
      <w:r>
        <w:rPr>
          <w:rFonts w:hint="eastAsia" w:ascii="仿宋" w:hAnsi="仿宋" w:eastAsia="仿宋"/>
          <w:b w:val="0"/>
          <w:bCs/>
          <w:sz w:val="28"/>
          <w:szCs w:val="28"/>
          <w:lang w:eastAsia="zh-CN"/>
        </w:rPr>
        <w:t>问题解决：</w:t>
      </w:r>
      <w:r>
        <w:rPr>
          <w:rFonts w:hint="eastAsia" w:ascii="仿宋" w:hAnsi="仿宋" w:eastAsia="仿宋"/>
          <w:b w:val="0"/>
          <w:bCs/>
          <w:sz w:val="28"/>
          <w:szCs w:val="28"/>
          <w:lang w:val="en-US" w:eastAsia="zh-CN"/>
        </w:rPr>
        <w:t>皮影戏的工作原理是什么？电视机、手机、平板等电子显示设备的工作原理和皮影戏是不是一样的？</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Chars="0"/>
        <w:textAlignment w:val="auto"/>
        <w:rPr>
          <w:rFonts w:hint="eastAsia" w:ascii="仿宋" w:hAnsi="仿宋" w:eastAsia="仿宋"/>
          <w:b w:val="0"/>
          <w:bCs/>
          <w:sz w:val="28"/>
          <w:szCs w:val="28"/>
          <w:lang w:eastAsia="zh-CN"/>
        </w:rPr>
      </w:pPr>
      <w:r>
        <w:rPr>
          <w:rFonts w:hint="eastAsia" w:ascii="仿宋" w:hAnsi="仿宋" w:eastAsia="仿宋"/>
          <w:b w:val="0"/>
          <w:bCs/>
          <w:sz w:val="28"/>
          <w:szCs w:val="28"/>
          <w:lang w:eastAsia="zh-CN"/>
        </w:rPr>
        <w:t>创意物化：</w:t>
      </w:r>
      <w:r>
        <w:rPr>
          <w:rFonts w:hint="eastAsia" w:ascii="仿宋" w:hAnsi="仿宋" w:eastAsia="仿宋"/>
          <w:b w:val="0"/>
          <w:bCs/>
          <w:sz w:val="28"/>
          <w:szCs w:val="28"/>
          <w:lang w:val="en-US" w:eastAsia="zh-CN"/>
        </w:rPr>
        <w:t>学生们通过自己的双手创造属于自己的皮影人物，通过给皮影起名字，编写生平故事来赋予它性格。回到家中也可以通过灯光投影到墙上，继续它的传奇人生。</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sz w:val="28"/>
          <w:szCs w:val="28"/>
        </w:rPr>
      </w:pPr>
      <w:r>
        <w:rPr>
          <w:rFonts w:hint="eastAsia" w:ascii="仿宋" w:hAnsi="仿宋" w:eastAsia="仿宋"/>
          <w:b/>
          <w:sz w:val="28"/>
          <w:szCs w:val="28"/>
        </w:rPr>
        <w:t>四、课程时长：</w:t>
      </w:r>
      <w:r>
        <w:rPr>
          <w:rFonts w:hint="eastAsia" w:ascii="仿宋" w:hAnsi="仿宋" w:eastAsia="仿宋"/>
          <w:b w:val="0"/>
          <w:bCs/>
          <w:sz w:val="28"/>
          <w:szCs w:val="28"/>
        </w:rPr>
        <w:t>180分钟</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olor w:val="FF0000"/>
          <w:sz w:val="28"/>
          <w:szCs w:val="28"/>
          <w:lang w:val="en-US" w:eastAsia="zh-CN"/>
        </w:rPr>
      </w:pPr>
      <w:r>
        <w:rPr>
          <w:rFonts w:hint="eastAsia" w:ascii="仿宋" w:hAnsi="仿宋" w:eastAsia="仿宋"/>
          <w:b/>
          <w:sz w:val="28"/>
          <w:szCs w:val="28"/>
        </w:rPr>
        <w:t>五、适合学段：</w:t>
      </w:r>
      <w:r>
        <w:rPr>
          <w:rFonts w:hint="eastAsia" w:ascii="仿宋" w:hAnsi="仿宋" w:eastAsia="仿宋"/>
          <w:b w:val="0"/>
          <w:bCs/>
          <w:sz w:val="28"/>
          <w:szCs w:val="28"/>
          <w:lang w:val="en-US" w:eastAsia="zh-CN"/>
        </w:rPr>
        <w:t>高中段</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sz w:val="28"/>
          <w:szCs w:val="28"/>
          <w:lang w:val="en-US" w:eastAsia="zh-CN"/>
        </w:rPr>
      </w:pPr>
      <w:r>
        <w:rPr>
          <w:rFonts w:hint="eastAsia" w:ascii="仿宋" w:hAnsi="仿宋" w:eastAsia="仿宋"/>
          <w:b/>
          <w:sz w:val="28"/>
          <w:szCs w:val="28"/>
        </w:rPr>
        <w:t>六、研学地点：</w:t>
      </w:r>
      <w:r>
        <w:rPr>
          <w:rFonts w:hint="eastAsia" w:ascii="仿宋" w:hAnsi="仿宋" w:eastAsia="仿宋"/>
          <w:b w:val="0"/>
          <w:bCs/>
          <w:sz w:val="28"/>
          <w:szCs w:val="28"/>
          <w:lang w:val="en-US" w:eastAsia="zh-CN"/>
        </w:rPr>
        <w:t>巴王寨皮影馆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b w:val="0"/>
          <w:bCs/>
          <w:sz w:val="28"/>
          <w:szCs w:val="28"/>
        </w:rPr>
      </w:pPr>
      <w:r>
        <w:rPr>
          <w:rFonts w:hint="eastAsia" w:ascii="仿宋" w:hAnsi="仿宋" w:eastAsia="仿宋"/>
          <w:b/>
          <w:sz w:val="28"/>
          <w:szCs w:val="28"/>
        </w:rPr>
        <w:t>七、配备师资：</w:t>
      </w:r>
      <w:r>
        <w:rPr>
          <w:rFonts w:hint="eastAsia" w:ascii="仿宋" w:hAnsi="仿宋" w:eastAsia="仿宋"/>
          <w:b w:val="0"/>
          <w:bCs/>
          <w:sz w:val="28"/>
          <w:szCs w:val="28"/>
        </w:rPr>
        <w:t>每班配置1-2名研学导师、1名安全员</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b w:val="0"/>
          <w:bCs/>
          <w:sz w:val="28"/>
          <w:szCs w:val="28"/>
          <w:lang w:val="en-US" w:eastAsia="zh-CN"/>
        </w:rPr>
      </w:pPr>
      <w:r>
        <w:rPr>
          <w:rFonts w:hint="eastAsia" w:ascii="仿宋" w:hAnsi="仿宋" w:eastAsia="仿宋"/>
          <w:b/>
          <w:sz w:val="28"/>
          <w:szCs w:val="28"/>
          <w:lang w:val="en-US" w:eastAsia="zh-CN"/>
        </w:rPr>
        <w:t>八、接待规模：</w:t>
      </w:r>
      <w:r>
        <w:rPr>
          <w:rFonts w:hint="eastAsia" w:ascii="仿宋" w:hAnsi="仿宋" w:eastAsia="仿宋"/>
          <w:b w:val="0"/>
          <w:bCs/>
          <w:sz w:val="28"/>
          <w:szCs w:val="28"/>
          <w:lang w:val="en-US" w:eastAsia="zh-CN"/>
        </w:rPr>
        <w:t>400人</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sz w:val="28"/>
          <w:szCs w:val="28"/>
          <w:lang w:val="en-US" w:eastAsia="zh-CN"/>
        </w:rPr>
      </w:pPr>
      <w:r>
        <w:rPr>
          <w:rFonts w:hint="eastAsia" w:ascii="仿宋" w:hAnsi="仿宋" w:eastAsia="仿宋"/>
          <w:b/>
          <w:sz w:val="28"/>
          <w:szCs w:val="28"/>
          <w:lang w:val="en-US" w:eastAsia="zh-CN"/>
        </w:rPr>
        <w:t>九</w:t>
      </w:r>
      <w:r>
        <w:rPr>
          <w:rFonts w:hint="eastAsia" w:ascii="仿宋" w:hAnsi="仿宋" w:eastAsia="仿宋"/>
          <w:b/>
          <w:sz w:val="28"/>
          <w:szCs w:val="28"/>
        </w:rPr>
        <w:t>、研学用具：</w:t>
      </w:r>
      <w:r>
        <w:rPr>
          <w:rFonts w:hint="eastAsia" w:ascii="仿宋" w:hAnsi="仿宋" w:eastAsia="仿宋"/>
          <w:b w:val="0"/>
          <w:bCs/>
          <w:sz w:val="28"/>
          <w:szCs w:val="28"/>
          <w:lang w:val="en-US" w:eastAsia="zh-CN"/>
        </w:rPr>
        <w:t>纸板、样谱、彩笔、安全剪刀、双脚钉、塑料棍</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b/>
          <w:sz w:val="28"/>
          <w:szCs w:val="28"/>
        </w:rPr>
      </w:pPr>
      <w:r>
        <w:rPr>
          <w:rFonts w:hint="eastAsia" w:ascii="仿宋" w:hAnsi="仿宋" w:eastAsia="仿宋"/>
          <w:b/>
          <w:sz w:val="28"/>
          <w:szCs w:val="28"/>
          <w:lang w:val="en-US" w:eastAsia="zh-CN"/>
        </w:rPr>
        <w:t>十</w:t>
      </w:r>
      <w:r>
        <w:rPr>
          <w:rFonts w:hint="eastAsia" w:ascii="仿宋" w:hAnsi="仿宋" w:eastAsia="仿宋"/>
          <w:b/>
          <w:sz w:val="28"/>
          <w:szCs w:val="28"/>
        </w:rPr>
        <w:t>、研学流程：</w:t>
      </w:r>
    </w:p>
    <w:p>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b w:val="0"/>
          <w:bCs w:val="0"/>
          <w:sz w:val="28"/>
          <w:szCs w:val="28"/>
        </w:rPr>
      </w:pPr>
      <w:r>
        <w:rPr>
          <w:rFonts w:hint="eastAsia" w:ascii="仿宋" w:hAnsi="仿宋" w:eastAsia="仿宋"/>
          <w:b w:val="0"/>
          <w:bCs w:val="0"/>
          <w:sz w:val="28"/>
          <w:szCs w:val="28"/>
          <w:lang w:val="en-US" w:eastAsia="zh-CN"/>
        </w:rPr>
        <w:t>1、</w:t>
      </w:r>
      <w:r>
        <w:rPr>
          <w:rFonts w:hint="eastAsia" w:ascii="仿宋" w:hAnsi="仿宋" w:eastAsia="仿宋"/>
          <w:b w:val="0"/>
          <w:bCs w:val="0"/>
          <w:sz w:val="28"/>
          <w:szCs w:val="28"/>
        </w:rPr>
        <w:t>课程知识点导入：</w:t>
      </w:r>
    </w:p>
    <w:p>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sz w:val="28"/>
          <w:szCs w:val="28"/>
          <w:lang w:val="en-US" w:eastAsia="zh-CN"/>
        </w:rPr>
      </w:pPr>
      <w:r>
        <w:rPr>
          <w:rFonts w:hint="eastAsia" w:ascii="仿宋" w:hAnsi="仿宋" w:eastAsia="仿宋"/>
          <w:sz w:val="28"/>
          <w:szCs w:val="28"/>
          <w:lang w:eastAsia="zh-CN"/>
        </w:rPr>
        <w:t>（</w:t>
      </w:r>
      <w:r>
        <w:rPr>
          <w:rFonts w:hint="eastAsia" w:ascii="仿宋" w:hAnsi="仿宋" w:eastAsia="仿宋"/>
          <w:sz w:val="28"/>
          <w:szCs w:val="28"/>
          <w:lang w:val="en-US" w:eastAsia="zh-CN"/>
        </w:rPr>
        <w:t>20分钟</w:t>
      </w:r>
      <w:r>
        <w:rPr>
          <w:rFonts w:hint="eastAsia" w:ascii="仿宋" w:hAnsi="仿宋" w:eastAsia="仿宋"/>
          <w:sz w:val="28"/>
          <w:szCs w:val="28"/>
          <w:lang w:eastAsia="zh-CN"/>
        </w:rPr>
        <w:t>）</w:t>
      </w:r>
      <w:r>
        <w:rPr>
          <w:rFonts w:hint="eastAsia" w:ascii="仿宋" w:hAnsi="仿宋" w:eastAsia="仿宋"/>
          <w:b w:val="0"/>
          <w:bCs w:val="0"/>
          <w:sz w:val="28"/>
          <w:szCs w:val="28"/>
          <w:lang w:val="en-US" w:eastAsia="zh-CN"/>
        </w:rPr>
        <w:t>研学导师介绍皮影2000多年的历史。介绍</w:t>
      </w:r>
      <w:r>
        <w:rPr>
          <w:rFonts w:hint="eastAsia" w:ascii="仿宋" w:hAnsi="仿宋" w:eastAsia="仿宋"/>
          <w:sz w:val="28"/>
          <w:szCs w:val="28"/>
          <w:lang w:val="en-US" w:eastAsia="zh-CN"/>
        </w:rPr>
        <w:t>一张普通的兽皮经过选皮、制皮、画稿、过稿、镂刻、敷彩、发汗熨平、缀(zhuì)结合成等八道工序，才能蝶变成色彩艳丽的皮影。</w:t>
      </w:r>
    </w:p>
    <w:p>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“选皮：选皮是皮影的基础，一般选用牛皮、羊皮、驴皮、猪皮等材质，还要优选厚薄适中，质坚柔韧，青中透明的外皮。比如牛皮一般选用年轻、毛色黑的公牛皮。</w:t>
      </w:r>
    </w:p>
    <w:p>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制皮：皮子选好后，在洁净的凉水里浸泡两、三天，取出用刀刮：一刮去毛，二刮去肉渣，三刮里皮，四刮薄刮亮。每刮一次用清水浸泡一次。刮时很考验手艺，皮子厚薄均匀，手劲要轻而稳。刮好后撑于木架之上，荫干。</w:t>
      </w:r>
    </w:p>
    <w:p>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画稿：皮影艺术创意汲取了中国汉代帛画、画像石、画像砖和唐、宋寺院壁画的手法与风格集大成，又有创新，称为“样谱”，这些设计图稿世代相传。</w:t>
      </w:r>
    </w:p>
    <w:p>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过稿：将皮子分解成头颅、胸、腹、双腿、双臂、双肘、双手，共计十一个部件，用钢针把各部件的轮廓和设计图案纹样分别拷贝、描绘在皮面上。</w:t>
      </w:r>
    </w:p>
    <w:p>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镂刻：皮子放在枣木或梨木板上进行镂刻。需要用到少则十几把，多则三十几把刀口不同的刻刀，通过扎推凿刻等方式3000余刀完成皮影的镂刻。</w:t>
      </w:r>
    </w:p>
    <w:p>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敷彩：精选矿植物等天然颜料，加热与皮胶融合，趁热敷在皮子上。</w:t>
      </w:r>
    </w:p>
    <w:p>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发汗熨平：敷彩后的皮子熨平脱水，这是关键的一步，温度适宜脱水合适的皮子具有颜色鲜艳，形态保持时间长的特点。</w:t>
      </w:r>
    </w:p>
    <w:p>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仿宋" w:hAnsi="仿宋" w:eastAsia="仿宋"/>
          <w:sz w:val="28"/>
          <w:szCs w:val="28"/>
          <w:lang w:val="en-US" w:eastAsia="zh-CN"/>
        </w:rPr>
      </w:pPr>
      <w:r>
        <w:rPr>
          <w:rFonts w:hint="eastAsia" w:ascii="仿宋" w:hAnsi="仿宋" w:eastAsia="仿宋"/>
          <w:sz w:val="24"/>
          <w:szCs w:val="24"/>
          <w:lang w:val="en-US" w:eastAsia="zh-CN"/>
        </w:rPr>
        <w:t>缀(zhuì)结合成：各个部件设置连接点、称为骨眼，骨眼选的好，可以使皮影活动灵活。同时通过骨眼的选择，可以塑造精神抖擞，或者是垂垂老矣的人物形象。再用牛皮的枢钉或线连接骨眼，拼成完整形象。用竹签操纵骨眼活动。”</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b w:val="0"/>
          <w:bCs w:val="0"/>
          <w:sz w:val="28"/>
          <w:szCs w:val="28"/>
        </w:rPr>
      </w:pPr>
      <w:r>
        <w:rPr>
          <w:rFonts w:hint="eastAsia" w:ascii="仿宋" w:hAnsi="仿宋" w:eastAsia="仿宋"/>
          <w:b w:val="0"/>
          <w:bCs w:val="0"/>
          <w:sz w:val="28"/>
          <w:szCs w:val="28"/>
          <w:lang w:val="en-US" w:eastAsia="zh-CN"/>
        </w:rPr>
        <w:t>2、</w:t>
      </w:r>
      <w:r>
        <w:rPr>
          <w:rFonts w:hint="eastAsia" w:ascii="仿宋" w:hAnsi="仿宋" w:eastAsia="仿宋"/>
          <w:b w:val="0"/>
          <w:bCs w:val="0"/>
          <w:sz w:val="28"/>
          <w:szCs w:val="28"/>
        </w:rPr>
        <w:t>研学任务实践探究：</w:t>
      </w:r>
    </w:p>
    <w:p>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b w:val="0"/>
          <w:bCs w:val="0"/>
          <w:sz w:val="28"/>
          <w:szCs w:val="28"/>
          <w:lang w:eastAsia="zh-CN"/>
        </w:rPr>
      </w:pPr>
      <w:r>
        <w:rPr>
          <w:rFonts w:hint="eastAsia" w:ascii="仿宋" w:hAnsi="仿宋" w:eastAsia="仿宋"/>
          <w:b w:val="0"/>
          <w:bCs w:val="0"/>
          <w:sz w:val="28"/>
          <w:szCs w:val="28"/>
          <w:lang w:val="en-US" w:eastAsia="zh-CN"/>
        </w:rPr>
        <w:t>（10分钟）研学导师为每位同学分发纸板和样谱，模拟简易皮影的制作。研学导师讲解简易皮影分为头部躯干、两个前臂、两个上臂、两个大腿、两个小腿共九个部分；讲解骨眼如何选择，上色及安装的方法和注意事项；强调整个制作过程的安全事项。</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eastAsia="zh-CN"/>
        </w:rPr>
        <w:t>（</w:t>
      </w:r>
      <w:r>
        <w:rPr>
          <w:rFonts w:hint="eastAsia" w:ascii="仿宋" w:hAnsi="仿宋" w:eastAsia="仿宋"/>
          <w:b w:val="0"/>
          <w:bCs w:val="0"/>
          <w:sz w:val="28"/>
          <w:szCs w:val="28"/>
          <w:lang w:val="en-US" w:eastAsia="zh-CN"/>
        </w:rPr>
        <w:t>70分钟</w:t>
      </w:r>
      <w:r>
        <w:rPr>
          <w:rFonts w:hint="eastAsia" w:ascii="仿宋" w:hAnsi="仿宋" w:eastAsia="仿宋"/>
          <w:b w:val="0"/>
          <w:bCs w:val="0"/>
          <w:sz w:val="28"/>
          <w:szCs w:val="28"/>
          <w:lang w:eastAsia="zh-CN"/>
        </w:rPr>
        <w:t>）</w:t>
      </w:r>
      <w:r>
        <w:rPr>
          <w:rFonts w:hint="eastAsia" w:ascii="仿宋" w:hAnsi="仿宋" w:eastAsia="仿宋"/>
          <w:b w:val="0"/>
          <w:bCs w:val="0"/>
          <w:sz w:val="28"/>
          <w:szCs w:val="28"/>
          <w:lang w:val="en-US" w:eastAsia="zh-CN"/>
        </w:rPr>
        <w:t>设计并制作皮影。</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仿宋" w:hAnsi="仿宋" w:eastAsia="仿宋"/>
          <w:b w:val="0"/>
          <w:bCs w:val="0"/>
          <w:sz w:val="28"/>
          <w:szCs w:val="28"/>
          <w:lang w:val="en-US" w:eastAsia="zh-CN"/>
        </w:rPr>
      </w:pPr>
      <w:r>
        <w:rPr>
          <w:rFonts w:hint="default" w:ascii="Verdana" w:hAnsi="Verdana" w:eastAsia="宋体" w:cs="Verdana"/>
          <w:i w:val="0"/>
          <w:caps w:val="0"/>
          <w:color w:val="FF5500"/>
          <w:spacing w:val="0"/>
          <w:sz w:val="18"/>
          <w:szCs w:val="18"/>
          <w:u w:val="single"/>
        </w:rPr>
        <w:drawing>
          <wp:inline distT="0" distB="0" distL="114300" distR="114300">
            <wp:extent cx="5255895" cy="3315335"/>
            <wp:effectExtent l="0" t="0" r="1905" b="18415"/>
            <wp:docPr id="3" name="图片 2" descr="传统手工工艺品玩具 西游记皮影人物 diy 幼儿园手工制作皮影戏道具">
              <a:hlinkClick xmlns:a="http://schemas.openxmlformats.org/drawingml/2006/main" r:id="rId5" tooltip="皮影"/>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传统手工工艺品玩具 西游记皮影人物 diy 幼儿园手工制作皮影戏道具"/>
                    <pic:cNvPicPr>
                      <a:picLocks noChangeAspect="1"/>
                    </pic:cNvPicPr>
                  </pic:nvPicPr>
                  <pic:blipFill>
                    <a:blip r:embed="rId6"/>
                    <a:srcRect t="14559" b="22364"/>
                    <a:stretch>
                      <a:fillRect/>
                    </a:stretch>
                  </pic:blipFill>
                  <pic:spPr>
                    <a:xfrm>
                      <a:off x="0" y="0"/>
                      <a:ext cx="5255895" cy="3315335"/>
                    </a:xfrm>
                    <a:prstGeom prst="rect">
                      <a:avLst/>
                    </a:prstGeom>
                    <a:noFill/>
                    <a:ln w="9525">
                      <a:noFill/>
                    </a:ln>
                  </pic:spPr>
                </pic:pic>
              </a:graphicData>
            </a:graphic>
          </wp:inline>
        </w:drawing>
      </w:r>
      <w:bookmarkStart w:id="0" w:name="_GoBack"/>
      <w:bookmarkEnd w:id="0"/>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构思：学生根据样谱，也可以根据自己的喜好，设计人物。可以是历史人物，传说中的神魔，动画片中的角色等等。</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绘画：学生在纸板上将构思好的人物用彩笔画出，注意要将人物拆解成九个部分，各部分要预留出骨眼的位置，并分别对人物各部分上色。</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拆解：将皮影各部分从纸板上剪下来，需要心细手稳，保持边缘平整。</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组装：用双脚钉和塑料棍通过骨眼连接皮影各部件，形成一个完整的皮影。活动两根塑料棍，观察皮影九个部分的协调性。注意双脚钉的使用安全。</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（10分钟）学生们休息和上洗手间</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sz w:val="28"/>
          <w:szCs w:val="28"/>
        </w:rPr>
      </w:pPr>
      <w:r>
        <w:rPr>
          <w:rFonts w:hint="eastAsia" w:ascii="仿宋" w:hAnsi="仿宋" w:eastAsia="仿宋"/>
          <w:sz w:val="28"/>
          <w:szCs w:val="28"/>
          <w:lang w:val="en-US" w:eastAsia="zh-CN"/>
        </w:rPr>
        <w:t>3、</w:t>
      </w:r>
      <w:r>
        <w:rPr>
          <w:rFonts w:hint="eastAsia" w:ascii="仿宋" w:hAnsi="仿宋" w:eastAsia="仿宋"/>
          <w:sz w:val="28"/>
          <w:szCs w:val="28"/>
        </w:rPr>
        <w:t>研学成果展示：</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b w:val="0"/>
          <w:bCs w:val="0"/>
          <w:sz w:val="28"/>
          <w:szCs w:val="28"/>
          <w:lang w:val="en-US" w:eastAsia="zh-CN"/>
        </w:rPr>
      </w:pPr>
      <w:r>
        <w:rPr>
          <w:rFonts w:hint="eastAsia" w:ascii="仿宋" w:hAnsi="仿宋" w:eastAsia="仿宋"/>
          <w:sz w:val="28"/>
          <w:szCs w:val="28"/>
          <w:lang w:val="en-US" w:eastAsia="zh-CN"/>
        </w:rPr>
        <w:t>（15分钟）</w:t>
      </w:r>
      <w:r>
        <w:rPr>
          <w:rFonts w:hint="eastAsia" w:ascii="仿宋" w:hAnsi="仿宋" w:eastAsia="仿宋"/>
          <w:b w:val="0"/>
          <w:bCs w:val="0"/>
          <w:sz w:val="28"/>
          <w:szCs w:val="28"/>
          <w:lang w:val="en-US" w:eastAsia="zh-CN"/>
        </w:rPr>
        <w:t>外观评价：组装完成后观察皮影整体形象是否端正，颜色是否正常，皮影活动起来是否灵活、协调。</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drawing>
          <wp:inline distT="0" distB="0" distL="114300" distR="114300">
            <wp:extent cx="5269230" cy="3512820"/>
            <wp:effectExtent l="0" t="0" r="7620" b="11430"/>
            <wp:docPr id="1" name="图片 1" descr="微信图片_20200916094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00916094458"/>
                    <pic:cNvPicPr>
                      <a:picLocks noChangeAspect="1"/>
                    </pic:cNvPicPr>
                  </pic:nvPicPr>
                  <pic:blipFill>
                    <a:blip r:embed="rId7"/>
                    <a:stretch>
                      <a:fillRect/>
                    </a:stretch>
                  </pic:blipFill>
                  <pic:spPr>
                    <a:xfrm>
                      <a:off x="0" y="0"/>
                      <a:ext cx="5269230" cy="3512820"/>
                    </a:xfrm>
                    <a:prstGeom prst="rect">
                      <a:avLst/>
                    </a:prstGeom>
                  </pic:spPr>
                </pic:pic>
              </a:graphicData>
            </a:graphic>
          </wp:inline>
        </w:drawing>
      </w:r>
    </w:p>
    <w:p>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（20分钟）由皮影戏班艺人表演一段皮影戏，演出结束后讲解操纵皮影的技巧。</w:t>
      </w:r>
    </w:p>
    <w:p>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仿宋" w:hAnsi="仿宋" w:eastAsia="仿宋"/>
          <w:sz w:val="28"/>
          <w:szCs w:val="28"/>
          <w:lang w:val="en-US" w:eastAsia="zh-CN"/>
        </w:rPr>
      </w:pPr>
      <w:r>
        <w:rPr>
          <w:rFonts w:hint="eastAsia" w:ascii="仿宋" w:hAnsi="仿宋" w:eastAsia="仿宋"/>
          <w:sz w:val="28"/>
          <w:szCs w:val="28"/>
          <w:lang w:val="en-US" w:eastAsia="zh-CN"/>
        </w:rPr>
        <w:t>（30分钟）研学导师选取皮影制作比较好的10名同学，2名为一组，分为5组。各组先用5分钟，根据自己设计制作的人物形象，即兴创作一段包含两位人物的剧情。然后每组轮流上台模拟皮影戏表演，边说台词边操纵自己的皮影，每组展示5分钟。</w:t>
      </w:r>
    </w:p>
    <w:p>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sz w:val="28"/>
          <w:szCs w:val="28"/>
        </w:rPr>
      </w:pPr>
      <w:r>
        <w:rPr>
          <w:rFonts w:hint="eastAsia" w:ascii="仿宋" w:hAnsi="仿宋" w:eastAsia="仿宋"/>
          <w:sz w:val="28"/>
          <w:szCs w:val="28"/>
          <w:lang w:val="en-US" w:eastAsia="zh-CN"/>
        </w:rPr>
        <w:t>4、</w:t>
      </w:r>
      <w:r>
        <w:rPr>
          <w:rFonts w:hint="eastAsia" w:ascii="仿宋" w:hAnsi="仿宋" w:eastAsia="仿宋"/>
          <w:sz w:val="28"/>
          <w:szCs w:val="28"/>
        </w:rPr>
        <w:t>研学效果评价：</w:t>
      </w:r>
    </w:p>
    <w:p>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ascii="仿宋" w:hAnsi="仿宋" w:eastAsia="仿宋"/>
          <w:sz w:val="28"/>
          <w:szCs w:val="28"/>
        </w:rPr>
      </w:pPr>
      <w:r>
        <w:rPr>
          <w:rFonts w:hint="eastAsia" w:ascii="仿宋" w:hAnsi="仿宋" w:eastAsia="仿宋"/>
          <w:sz w:val="28"/>
          <w:szCs w:val="28"/>
          <w:lang w:val="en-US" w:eastAsia="zh-CN"/>
        </w:rPr>
        <w:t>（10分钟）听课是否认真，参与活动是否积极，皮影外观是否优秀，即兴表演是否有创意</w:t>
      </w:r>
      <w:r>
        <w:rPr>
          <w:rFonts w:hint="eastAsia" w:ascii="仿宋" w:hAnsi="仿宋" w:eastAsia="仿宋"/>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b/>
          <w:sz w:val="28"/>
          <w:szCs w:val="28"/>
        </w:rPr>
      </w:pPr>
      <w:r>
        <w:rPr>
          <w:rFonts w:hint="eastAsia" w:ascii="仿宋" w:hAnsi="仿宋" w:eastAsia="仿宋"/>
          <w:b/>
          <w:sz w:val="28"/>
          <w:szCs w:val="28"/>
          <w:lang w:val="en-US" w:eastAsia="zh-CN"/>
        </w:rPr>
        <w:t>十一、</w:t>
      </w:r>
      <w:r>
        <w:rPr>
          <w:rFonts w:ascii="仿宋" w:hAnsi="仿宋" w:eastAsia="仿宋"/>
          <w:b/>
          <w:sz w:val="28"/>
          <w:szCs w:val="28"/>
        </w:rPr>
        <w:t>研学评价</w:t>
      </w:r>
      <w:r>
        <w:rPr>
          <w:rFonts w:hint="eastAsia" w:ascii="仿宋" w:hAnsi="仿宋" w:eastAsia="仿宋"/>
          <w:b/>
          <w:sz w:val="28"/>
          <w:szCs w:val="28"/>
        </w:rPr>
        <w:t>：</w:t>
      </w:r>
    </w:p>
    <w:p>
      <w:pPr>
        <w:widowControl w:val="0"/>
        <w:numPr>
          <w:ilvl w:val="1"/>
          <w:numId w:val="3"/>
        </w:numPr>
        <w:spacing w:after="0" w:line="360" w:lineRule="auto"/>
        <w:ind w:firstLine="560" w:firstLineChars="200"/>
        <w:rPr>
          <w:rFonts w:ascii="仿宋" w:hAnsi="仿宋" w:eastAsia="仿宋" w:cs="仿宋"/>
          <w:bCs/>
          <w:sz w:val="28"/>
          <w:szCs w:val="28"/>
        </w:rPr>
      </w:pPr>
      <w:r>
        <w:rPr>
          <w:rFonts w:hint="eastAsia" w:ascii="仿宋" w:hAnsi="仿宋" w:eastAsia="仿宋" w:cs="仿宋"/>
          <w:bCs/>
          <w:sz w:val="28"/>
          <w:szCs w:val="28"/>
        </w:rPr>
        <w:t>学生评价</w:t>
      </w:r>
    </w:p>
    <w:p>
      <w:pPr>
        <w:widowControl w:val="0"/>
        <w:spacing w:after="0" w:line="360" w:lineRule="auto"/>
        <w:ind w:firstLine="422" w:firstLineChars="200"/>
        <w:jc w:val="center"/>
        <w:rPr>
          <w:rFonts w:ascii="仿宋" w:hAnsi="仿宋" w:eastAsia="仿宋" w:cs="宋体"/>
          <w:b/>
          <w:bCs/>
          <w:color w:val="000000"/>
          <w:szCs w:val="21"/>
        </w:rPr>
      </w:pPr>
      <w:r>
        <w:rPr>
          <w:rFonts w:hint="eastAsia" w:ascii="仿宋" w:hAnsi="仿宋" w:eastAsia="仿宋" w:cs="宋体"/>
          <w:b/>
          <w:bCs/>
          <w:color w:val="000000"/>
          <w:szCs w:val="21"/>
        </w:rPr>
        <w:t>三峡人家研学基地研学课程教学评价表</w:t>
      </w:r>
    </w:p>
    <w:tbl>
      <w:tblPr>
        <w:tblStyle w:val="2"/>
        <w:tblW w:w="86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0"/>
        <w:gridCol w:w="2363"/>
        <w:gridCol w:w="2385"/>
        <w:gridCol w:w="667"/>
        <w:gridCol w:w="663"/>
        <w:gridCol w:w="663"/>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5998" w:type="dxa"/>
            <w:gridSpan w:val="3"/>
            <w:vAlign w:val="center"/>
          </w:tcPr>
          <w:p>
            <w:pPr>
              <w:widowControl w:val="0"/>
              <w:spacing w:after="0"/>
              <w:rPr>
                <w:rFonts w:ascii="仿宋" w:hAnsi="仿宋" w:eastAsia="仿宋" w:cs="宋体"/>
                <w:b/>
                <w:bCs/>
                <w:color w:val="000000"/>
                <w:szCs w:val="21"/>
              </w:rPr>
            </w:pPr>
            <w:r>
              <w:rPr>
                <w:rFonts w:hint="eastAsia" w:ascii="仿宋" w:hAnsi="仿宋" w:eastAsia="仿宋" w:cs="宋体"/>
                <w:b/>
                <w:bCs/>
                <w:color w:val="000000"/>
                <w:szCs w:val="21"/>
              </w:rPr>
              <w:t>学校：</w:t>
            </w:r>
          </w:p>
        </w:tc>
        <w:tc>
          <w:tcPr>
            <w:tcW w:w="2673" w:type="dxa"/>
            <w:gridSpan w:val="4"/>
            <w:vAlign w:val="center"/>
          </w:tcPr>
          <w:p>
            <w:pPr>
              <w:widowControl w:val="0"/>
              <w:spacing w:after="0"/>
              <w:rPr>
                <w:rFonts w:ascii="仿宋" w:hAnsi="仿宋" w:eastAsia="仿宋" w:cs="宋体"/>
                <w:b/>
                <w:bCs/>
                <w:color w:val="000000"/>
                <w:szCs w:val="21"/>
              </w:rPr>
            </w:pPr>
            <w:r>
              <w:rPr>
                <w:rFonts w:hint="eastAsia" w:ascii="仿宋" w:hAnsi="仿宋" w:eastAsia="仿宋" w:cs="宋体"/>
                <w:b/>
                <w:bCs/>
                <w:color w:val="000000"/>
                <w:szCs w:val="21"/>
              </w:rPr>
              <w:t>学生姓名：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3613" w:type="dxa"/>
            <w:gridSpan w:val="2"/>
            <w:vAlign w:val="center"/>
          </w:tcPr>
          <w:p>
            <w:pPr>
              <w:widowControl w:val="0"/>
              <w:spacing w:after="0"/>
              <w:rPr>
                <w:rFonts w:ascii="仿宋" w:hAnsi="仿宋" w:eastAsia="仿宋" w:cs="宋体"/>
                <w:b/>
                <w:bCs/>
                <w:color w:val="000000"/>
                <w:szCs w:val="21"/>
              </w:rPr>
            </w:pPr>
            <w:r>
              <w:rPr>
                <w:rFonts w:hint="eastAsia" w:ascii="仿宋" w:hAnsi="仿宋" w:eastAsia="仿宋" w:cs="宋体"/>
                <w:b/>
                <w:bCs/>
                <w:color w:val="000000"/>
                <w:szCs w:val="21"/>
              </w:rPr>
              <w:t>研学课程名称：</w:t>
            </w:r>
          </w:p>
        </w:tc>
        <w:tc>
          <w:tcPr>
            <w:tcW w:w="2385" w:type="dxa"/>
            <w:vAlign w:val="center"/>
          </w:tcPr>
          <w:p>
            <w:pPr>
              <w:widowControl w:val="0"/>
              <w:spacing w:after="0"/>
              <w:rPr>
                <w:rFonts w:ascii="仿宋" w:hAnsi="仿宋" w:eastAsia="仿宋" w:cs="宋体"/>
                <w:b/>
                <w:bCs/>
                <w:color w:val="000000"/>
                <w:szCs w:val="21"/>
              </w:rPr>
            </w:pPr>
            <w:r>
              <w:rPr>
                <w:rFonts w:hint="eastAsia" w:ascii="仿宋" w:hAnsi="仿宋" w:eastAsia="仿宋" w:cs="宋体"/>
                <w:b/>
                <w:bCs/>
                <w:color w:val="000000"/>
                <w:szCs w:val="21"/>
              </w:rPr>
              <w:t>研学时间：</w:t>
            </w:r>
          </w:p>
        </w:tc>
        <w:tc>
          <w:tcPr>
            <w:tcW w:w="2673" w:type="dxa"/>
            <w:gridSpan w:val="4"/>
            <w:vAlign w:val="center"/>
          </w:tcPr>
          <w:p>
            <w:pPr>
              <w:widowControl w:val="0"/>
              <w:spacing w:after="0"/>
              <w:rPr>
                <w:rFonts w:ascii="仿宋" w:hAnsi="仿宋" w:eastAsia="仿宋" w:cs="宋体"/>
                <w:b/>
                <w:bCs/>
                <w:color w:val="000000"/>
                <w:szCs w:val="21"/>
              </w:rPr>
            </w:pPr>
            <w:r>
              <w:rPr>
                <w:rFonts w:hint="eastAsia" w:ascii="仿宋" w:hAnsi="仿宋" w:eastAsia="仿宋" w:cs="宋体"/>
                <w:b/>
                <w:bCs/>
                <w:color w:val="000000"/>
                <w:szCs w:val="21"/>
              </w:rPr>
              <w:t>导师姓名：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Align w:val="center"/>
          </w:tcPr>
          <w:p>
            <w:pPr>
              <w:widowControl w:val="0"/>
              <w:spacing w:after="0"/>
              <w:jc w:val="center"/>
              <w:rPr>
                <w:rFonts w:ascii="仿宋" w:hAnsi="仿宋" w:eastAsia="仿宋" w:cs="宋体"/>
                <w:color w:val="000000"/>
                <w:szCs w:val="21"/>
              </w:rPr>
            </w:pPr>
            <w:r>
              <w:rPr>
                <w:rFonts w:hint="eastAsia" w:ascii="仿宋" w:hAnsi="仿宋" w:eastAsia="仿宋" w:cs="宋体"/>
                <w:color w:val="000000"/>
                <w:szCs w:val="21"/>
              </w:rPr>
              <w:t>指标</w:t>
            </w:r>
          </w:p>
        </w:tc>
        <w:tc>
          <w:tcPr>
            <w:tcW w:w="4748" w:type="dxa"/>
            <w:gridSpan w:val="2"/>
            <w:vAlign w:val="center"/>
          </w:tcPr>
          <w:p>
            <w:pPr>
              <w:widowControl w:val="0"/>
              <w:spacing w:after="0"/>
              <w:jc w:val="center"/>
              <w:rPr>
                <w:rFonts w:ascii="仿宋" w:hAnsi="仿宋" w:eastAsia="仿宋" w:cs="宋体"/>
                <w:color w:val="000000"/>
                <w:szCs w:val="21"/>
              </w:rPr>
            </w:pPr>
            <w:r>
              <w:rPr>
                <w:rFonts w:hint="eastAsia" w:ascii="仿宋" w:hAnsi="仿宋" w:eastAsia="仿宋" w:cs="宋体"/>
                <w:color w:val="000000"/>
                <w:szCs w:val="21"/>
              </w:rPr>
              <w:t>评分标准</w:t>
            </w:r>
          </w:p>
        </w:tc>
        <w:tc>
          <w:tcPr>
            <w:tcW w:w="667" w:type="dxa"/>
            <w:vAlign w:val="center"/>
          </w:tcPr>
          <w:p>
            <w:pPr>
              <w:widowControl w:val="0"/>
              <w:spacing w:after="0"/>
              <w:jc w:val="center"/>
              <w:rPr>
                <w:rFonts w:ascii="仿宋" w:hAnsi="仿宋" w:eastAsia="仿宋" w:cs="宋体"/>
                <w:color w:val="000000"/>
                <w:szCs w:val="21"/>
              </w:rPr>
            </w:pPr>
            <w:r>
              <w:rPr>
                <w:rFonts w:hint="eastAsia" w:ascii="仿宋" w:hAnsi="仿宋" w:eastAsia="仿宋" w:cs="宋体"/>
                <w:color w:val="000000"/>
                <w:szCs w:val="21"/>
              </w:rPr>
              <w:t>自评</w:t>
            </w:r>
          </w:p>
        </w:tc>
        <w:tc>
          <w:tcPr>
            <w:tcW w:w="663" w:type="dxa"/>
            <w:vAlign w:val="center"/>
          </w:tcPr>
          <w:p>
            <w:pPr>
              <w:widowControl w:val="0"/>
              <w:spacing w:after="0"/>
              <w:jc w:val="center"/>
              <w:rPr>
                <w:rFonts w:ascii="仿宋" w:hAnsi="仿宋" w:eastAsia="仿宋" w:cs="宋体"/>
                <w:color w:val="000000"/>
                <w:szCs w:val="21"/>
              </w:rPr>
            </w:pPr>
            <w:r>
              <w:rPr>
                <w:rFonts w:hint="eastAsia" w:ascii="仿宋" w:hAnsi="仿宋" w:eastAsia="仿宋" w:cs="宋体"/>
                <w:color w:val="000000"/>
                <w:szCs w:val="21"/>
              </w:rPr>
              <w:t>互评</w:t>
            </w:r>
          </w:p>
        </w:tc>
        <w:tc>
          <w:tcPr>
            <w:tcW w:w="663" w:type="dxa"/>
            <w:vAlign w:val="center"/>
          </w:tcPr>
          <w:p>
            <w:pPr>
              <w:widowControl w:val="0"/>
              <w:spacing w:after="0"/>
              <w:jc w:val="center"/>
              <w:rPr>
                <w:rFonts w:ascii="仿宋" w:hAnsi="仿宋" w:eastAsia="仿宋" w:cs="宋体"/>
                <w:color w:val="000000"/>
                <w:szCs w:val="21"/>
              </w:rPr>
            </w:pPr>
            <w:r>
              <w:rPr>
                <w:rFonts w:hint="eastAsia" w:ascii="仿宋" w:hAnsi="仿宋" w:eastAsia="仿宋" w:cs="宋体"/>
                <w:color w:val="000000"/>
                <w:szCs w:val="21"/>
              </w:rPr>
              <w:t>师评</w:t>
            </w:r>
          </w:p>
        </w:tc>
        <w:tc>
          <w:tcPr>
            <w:tcW w:w="680" w:type="dxa"/>
            <w:vAlign w:val="center"/>
          </w:tcPr>
          <w:p>
            <w:pPr>
              <w:widowControl w:val="0"/>
              <w:spacing w:after="0"/>
              <w:jc w:val="center"/>
              <w:rPr>
                <w:rFonts w:ascii="仿宋" w:hAnsi="仿宋" w:eastAsia="仿宋" w:cs="宋体"/>
                <w:color w:val="000000"/>
                <w:szCs w:val="21"/>
              </w:rPr>
            </w:pPr>
            <w:r>
              <w:rPr>
                <w:rFonts w:hint="eastAsia" w:ascii="仿宋" w:hAnsi="仿宋" w:eastAsia="仿宋" w:cs="宋体"/>
                <w:color w:val="000000"/>
                <w:szCs w:val="21"/>
              </w:rPr>
              <w:t>综合等级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restart"/>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课堂表现</w:t>
            </w: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积极认领任务，积极思考、主动发言，勇于实践、敢于创新，发挥特长、团结合作。</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restart"/>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continue"/>
            <w:vAlign w:val="center"/>
          </w:tcPr>
          <w:p>
            <w:pPr>
              <w:widowControl w:val="0"/>
              <w:spacing w:after="0"/>
              <w:rPr>
                <w:rFonts w:ascii="仿宋" w:hAnsi="仿宋" w:eastAsia="仿宋" w:cs="宋体"/>
                <w:color w:val="000000"/>
                <w:szCs w:val="21"/>
              </w:rPr>
            </w:pP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主动关心和帮助同学，团队意识强，合作项目积极献言献策，并协助大家一起完成任务。</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continue"/>
            <w:vAlign w:val="center"/>
          </w:tcPr>
          <w:p>
            <w:pPr>
              <w:widowControl w:val="0"/>
              <w:spacing w:after="0"/>
              <w:rPr>
                <w:rFonts w:ascii="仿宋" w:hAnsi="仿宋" w:eastAsia="仿宋" w:cs="宋体"/>
                <w:color w:val="000000"/>
                <w:szCs w:val="21"/>
              </w:rPr>
            </w:pP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遵守课堂纪律，自觉服从研学导师的管理，听从指挥，维护大局、能协助老师管理</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continue"/>
            <w:vAlign w:val="center"/>
          </w:tcPr>
          <w:p>
            <w:pPr>
              <w:widowControl w:val="0"/>
              <w:spacing w:after="0"/>
              <w:rPr>
                <w:rFonts w:ascii="仿宋" w:hAnsi="仿宋" w:eastAsia="仿宋" w:cs="宋体"/>
                <w:color w:val="000000"/>
                <w:szCs w:val="21"/>
              </w:rPr>
            </w:pP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态度认真，准备充分，积极参与课堂活动，主动完成研学任务，有成果收获。</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restart"/>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文明礼仪</w:t>
            </w: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乘车礼仪：有序上下车、不疯赶打闹、不窜座位、不乱扔废弃物，主动参与活动</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continue"/>
            <w:vAlign w:val="center"/>
          </w:tcPr>
          <w:p>
            <w:pPr>
              <w:widowControl w:val="0"/>
              <w:spacing w:after="0"/>
              <w:rPr>
                <w:rFonts w:ascii="仿宋" w:hAnsi="仿宋" w:eastAsia="仿宋" w:cs="宋体"/>
                <w:color w:val="000000"/>
                <w:szCs w:val="21"/>
              </w:rPr>
            </w:pP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公共礼仪：公共场所能注重个人礼仪规范，文明用语，不大声喧哗，爱护卫生，保护环境，</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continue"/>
            <w:vAlign w:val="center"/>
          </w:tcPr>
          <w:p>
            <w:pPr>
              <w:widowControl w:val="0"/>
              <w:spacing w:after="0"/>
              <w:rPr>
                <w:rFonts w:ascii="仿宋" w:hAnsi="仿宋" w:eastAsia="仿宋" w:cs="宋体"/>
                <w:color w:val="000000"/>
                <w:szCs w:val="21"/>
              </w:rPr>
            </w:pP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学生礼仪：严于律己，乐于助人，能够始终保持良好的学生形象。</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continue"/>
            <w:vAlign w:val="center"/>
          </w:tcPr>
          <w:p>
            <w:pPr>
              <w:widowControl w:val="0"/>
              <w:spacing w:after="0"/>
              <w:rPr>
                <w:rFonts w:ascii="仿宋" w:hAnsi="仿宋" w:eastAsia="仿宋" w:cs="宋体"/>
                <w:color w:val="000000"/>
                <w:szCs w:val="21"/>
              </w:rPr>
            </w:pP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就餐礼仪：依次就坐、不敲打碗筷、不挑不抢、吃饭不语、光盘行动</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restart"/>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安全意识</w:t>
            </w: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乘车安全：系好安全带、不随意脱离座位、不将头手伸出车外、熟悉安全设施设备</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continue"/>
            <w:vAlign w:val="center"/>
          </w:tcPr>
          <w:p>
            <w:pPr>
              <w:widowControl w:val="0"/>
              <w:spacing w:after="0"/>
              <w:rPr>
                <w:rFonts w:ascii="仿宋" w:hAnsi="仿宋" w:eastAsia="仿宋" w:cs="宋体"/>
                <w:color w:val="000000"/>
                <w:szCs w:val="21"/>
              </w:rPr>
            </w:pP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课堂安全：有序参与各项研学实践活动，正确使用教学设备和设施，不伤及自己或他人</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continue"/>
            <w:vAlign w:val="center"/>
          </w:tcPr>
          <w:p>
            <w:pPr>
              <w:widowControl w:val="0"/>
              <w:spacing w:after="0"/>
              <w:rPr>
                <w:rFonts w:ascii="仿宋" w:hAnsi="仿宋" w:eastAsia="仿宋" w:cs="宋体"/>
                <w:color w:val="000000"/>
                <w:szCs w:val="21"/>
              </w:rPr>
            </w:pP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就餐安全：依次排队就餐、注意防滑、防烫、防明火、禁止在非正规经营点购买食品</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continue"/>
            <w:vAlign w:val="center"/>
          </w:tcPr>
          <w:p>
            <w:pPr>
              <w:widowControl w:val="0"/>
              <w:spacing w:after="0"/>
              <w:rPr>
                <w:rFonts w:ascii="仿宋" w:hAnsi="仿宋" w:eastAsia="仿宋" w:cs="宋体"/>
                <w:color w:val="000000"/>
                <w:szCs w:val="21"/>
              </w:rPr>
            </w:pP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景点安全：排队入园、文明游览、不脱离团队、听从导师安排、主动远离危险源、风险意识强、帮助同学提高安全意识</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restart"/>
            <w:vAlign w:val="center"/>
          </w:tcPr>
          <w:p>
            <w:pPr>
              <w:widowControl w:val="0"/>
              <w:spacing w:after="0"/>
              <w:rPr>
                <w:rFonts w:ascii="仿宋" w:hAnsi="仿宋" w:eastAsia="仿宋" w:cs="宋体"/>
                <w:color w:val="000000"/>
                <w:szCs w:val="21"/>
              </w:rPr>
            </w:pPr>
            <w:r>
              <w:rPr>
                <w:rFonts w:ascii="仿宋" w:hAnsi="仿宋" w:eastAsia="仿宋" w:cs="宋体"/>
                <w:color w:val="000000"/>
                <w:szCs w:val="21"/>
              </w:rPr>
              <w:t>学习成果</w:t>
            </w: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探究成果：认真完成研学课程布置的任务，认真收集学习资料和完成研学手册中拓展延伸的项目，能在研学中发现新问题。</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continue"/>
            <w:vAlign w:val="center"/>
          </w:tcPr>
          <w:p>
            <w:pPr>
              <w:widowControl w:val="0"/>
              <w:spacing w:after="0"/>
              <w:rPr>
                <w:rFonts w:ascii="仿宋" w:hAnsi="仿宋" w:eastAsia="仿宋" w:cs="宋体"/>
                <w:color w:val="000000"/>
                <w:szCs w:val="21"/>
              </w:rPr>
            </w:pP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学习效果：参与小组活动分享，形成学习记录。分享新颖、有创意，小组讨论及分享语言表达清晰、流畅，有自己见解</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continue"/>
            <w:vAlign w:val="center"/>
          </w:tcPr>
          <w:p>
            <w:pPr>
              <w:widowControl w:val="0"/>
              <w:spacing w:after="0"/>
              <w:rPr>
                <w:rFonts w:ascii="仿宋" w:hAnsi="仿宋" w:eastAsia="仿宋" w:cs="宋体"/>
                <w:color w:val="000000"/>
                <w:szCs w:val="21"/>
              </w:rPr>
            </w:pP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研学手册：认真完成研学手册，书写认真，记载完整。</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1" w:type="dxa"/>
            <w:gridSpan w:val="7"/>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评价标准：A 优秀； B 良好； C 合作；D 待改进</w:t>
            </w:r>
          </w:p>
        </w:tc>
      </w:tr>
    </w:tbl>
    <w:p>
      <w:pPr>
        <w:widowControl w:val="0"/>
        <w:spacing w:after="0" w:line="360" w:lineRule="auto"/>
        <w:ind w:firstLine="422" w:firstLineChars="200"/>
        <w:rPr>
          <w:rFonts w:ascii="仿宋" w:hAnsi="仿宋" w:eastAsia="仿宋" w:cs="宋体"/>
          <w:b/>
          <w:bCs/>
          <w:color w:val="000000"/>
          <w:szCs w:val="21"/>
        </w:rPr>
      </w:pPr>
    </w:p>
    <w:p>
      <w:pPr>
        <w:widowControl w:val="0"/>
        <w:numPr>
          <w:ilvl w:val="1"/>
          <w:numId w:val="3"/>
        </w:numPr>
        <w:spacing w:after="0" w:line="360" w:lineRule="auto"/>
        <w:ind w:firstLine="560" w:firstLineChars="200"/>
        <w:rPr>
          <w:rFonts w:ascii="仿宋" w:hAnsi="仿宋" w:eastAsia="仿宋" w:cs="仿宋"/>
          <w:bCs/>
          <w:sz w:val="28"/>
          <w:szCs w:val="28"/>
        </w:rPr>
      </w:pPr>
      <w:r>
        <w:rPr>
          <w:rFonts w:hint="eastAsia" w:ascii="仿宋" w:hAnsi="仿宋" w:eastAsia="仿宋" w:cs="仿宋"/>
          <w:bCs/>
          <w:sz w:val="28"/>
          <w:szCs w:val="28"/>
        </w:rPr>
        <w:t>基地评价</w:t>
      </w:r>
    </w:p>
    <w:p>
      <w:pPr>
        <w:widowControl w:val="0"/>
        <w:spacing w:after="0" w:line="360" w:lineRule="auto"/>
        <w:ind w:firstLine="422" w:firstLineChars="200"/>
        <w:rPr>
          <w:rFonts w:ascii="仿宋" w:hAnsi="仿宋" w:eastAsia="仿宋" w:cs="仿宋"/>
          <w:bCs/>
          <w:sz w:val="28"/>
          <w:szCs w:val="28"/>
        </w:rPr>
      </w:pPr>
      <w:r>
        <w:rPr>
          <w:rFonts w:hint="eastAsia" w:ascii="仿宋" w:hAnsi="仿宋" w:eastAsia="仿宋" w:cs="宋体"/>
          <w:b/>
          <w:bCs/>
          <w:color w:val="000000"/>
          <w:szCs w:val="21"/>
        </w:rPr>
        <w:t>三峡人家研学基地评价表</w:t>
      </w:r>
    </w:p>
    <w:tbl>
      <w:tblPr>
        <w:tblStyle w:val="2"/>
        <w:tblW w:w="10239" w:type="dxa"/>
        <w:tblInd w:w="-8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
        <w:gridCol w:w="1012"/>
        <w:gridCol w:w="1749"/>
        <w:gridCol w:w="1830"/>
        <w:gridCol w:w="1773"/>
        <w:gridCol w:w="1716"/>
        <w:gridCol w:w="1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0" w:type="dxa"/>
            <w:gridSpan w:val="5"/>
            <w:vAlign w:val="center"/>
          </w:tcPr>
          <w:p>
            <w:pPr>
              <w:widowControl w:val="0"/>
              <w:spacing w:after="0"/>
              <w:ind w:right="-99" w:rightChars="-47"/>
              <w:rPr>
                <w:rFonts w:ascii="仿宋" w:hAnsi="仿宋" w:eastAsia="仿宋" w:cs="宋体"/>
                <w:b/>
                <w:bCs/>
                <w:color w:val="000000"/>
                <w:szCs w:val="21"/>
              </w:rPr>
            </w:pPr>
            <w:r>
              <w:rPr>
                <w:rFonts w:hint="eastAsia" w:ascii="仿宋" w:hAnsi="仿宋" w:eastAsia="仿宋" w:cs="宋体"/>
                <w:b/>
                <w:bCs/>
                <w:color w:val="000000"/>
                <w:szCs w:val="21"/>
              </w:rPr>
              <w:t>学校：</w:t>
            </w:r>
          </w:p>
        </w:tc>
        <w:tc>
          <w:tcPr>
            <w:tcW w:w="3409" w:type="dxa"/>
            <w:gridSpan w:val="2"/>
            <w:vAlign w:val="center"/>
          </w:tcPr>
          <w:p>
            <w:pPr>
              <w:widowControl w:val="0"/>
              <w:spacing w:after="0"/>
              <w:ind w:right="-99" w:rightChars="-47"/>
              <w:rPr>
                <w:rFonts w:ascii="仿宋" w:hAnsi="仿宋" w:eastAsia="仿宋" w:cs="宋体"/>
                <w:b/>
                <w:bCs/>
                <w:color w:val="000000"/>
                <w:szCs w:val="21"/>
              </w:rPr>
            </w:pPr>
            <w:r>
              <w:rPr>
                <w:rFonts w:hint="eastAsia" w:ascii="仿宋" w:hAnsi="仿宋" w:eastAsia="仿宋" w:cs="宋体"/>
                <w:b/>
                <w:bCs/>
                <w:color w:val="000000"/>
                <w:szCs w:val="21"/>
              </w:rPr>
              <w:t>研学时间：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0" w:type="dxa"/>
            <w:gridSpan w:val="5"/>
            <w:vAlign w:val="center"/>
          </w:tcPr>
          <w:p>
            <w:pPr>
              <w:widowControl w:val="0"/>
              <w:spacing w:after="0"/>
              <w:ind w:right="-99" w:rightChars="-47"/>
              <w:rPr>
                <w:rFonts w:ascii="仿宋" w:hAnsi="仿宋" w:eastAsia="仿宋" w:cs="宋体"/>
                <w:b/>
                <w:bCs/>
                <w:color w:val="000000"/>
                <w:szCs w:val="21"/>
              </w:rPr>
            </w:pPr>
            <w:r>
              <w:rPr>
                <w:rFonts w:hint="eastAsia" w:ascii="仿宋" w:hAnsi="仿宋" w:eastAsia="仿宋" w:cs="宋体"/>
                <w:b/>
                <w:bCs/>
                <w:color w:val="000000"/>
                <w:szCs w:val="21"/>
              </w:rPr>
              <w:t>研学课程名称：</w:t>
            </w:r>
          </w:p>
        </w:tc>
        <w:tc>
          <w:tcPr>
            <w:tcW w:w="3409" w:type="dxa"/>
            <w:gridSpan w:val="2"/>
            <w:vAlign w:val="center"/>
          </w:tcPr>
          <w:p>
            <w:pPr>
              <w:widowControl w:val="0"/>
              <w:spacing w:after="0"/>
              <w:ind w:right="-99" w:rightChars="-47"/>
              <w:rPr>
                <w:rFonts w:ascii="仿宋" w:hAnsi="仿宋" w:eastAsia="仿宋" w:cs="宋体"/>
                <w:b/>
                <w:bCs/>
                <w:color w:val="000000"/>
                <w:szCs w:val="21"/>
              </w:rPr>
            </w:pPr>
            <w:r>
              <w:rPr>
                <w:rFonts w:hint="eastAsia" w:ascii="仿宋" w:hAnsi="仿宋" w:eastAsia="仿宋" w:cs="宋体"/>
                <w:b/>
                <w:bCs/>
                <w:color w:val="000000"/>
                <w:szCs w:val="21"/>
              </w:rPr>
              <w:t>研学导师：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478" w:type="dxa"/>
            <w:gridSpan w:val="2"/>
            <w:vMerge w:val="restart"/>
            <w:vAlign w:val="center"/>
          </w:tcPr>
          <w:p>
            <w:pPr>
              <w:widowControl w:val="0"/>
              <w:spacing w:after="0"/>
              <w:jc w:val="center"/>
              <w:rPr>
                <w:rFonts w:ascii="仿宋" w:hAnsi="仿宋" w:eastAsia="仿宋" w:cs="仿宋"/>
                <w:sz w:val="28"/>
                <w:szCs w:val="28"/>
              </w:rPr>
            </w:pPr>
            <w:r>
              <w:rPr>
                <w:rFonts w:hint="eastAsia" w:ascii="仿宋" w:hAnsi="仿宋" w:eastAsia="仿宋" w:cs="仿宋"/>
                <w:sz w:val="28"/>
                <w:szCs w:val="28"/>
              </w:rPr>
              <w:t>项目</w:t>
            </w:r>
          </w:p>
        </w:tc>
        <w:tc>
          <w:tcPr>
            <w:tcW w:w="1749" w:type="dxa"/>
            <w:vAlign w:val="center"/>
          </w:tcPr>
          <w:p>
            <w:pPr>
              <w:widowControl w:val="0"/>
              <w:spacing w:after="0"/>
              <w:rPr>
                <w:rFonts w:ascii="仿宋" w:hAnsi="仿宋" w:eastAsia="仿宋" w:cs="仿宋"/>
                <w:sz w:val="24"/>
                <w:szCs w:val="24"/>
              </w:rPr>
            </w:pPr>
            <w:r>
              <w:rPr>
                <w:rFonts w:hint="eastAsia" w:ascii="仿宋" w:hAnsi="仿宋" w:eastAsia="仿宋" w:cs="仿宋"/>
                <w:sz w:val="24"/>
                <w:szCs w:val="24"/>
              </w:rPr>
              <w:t>导师综合素质</w:t>
            </w:r>
          </w:p>
        </w:tc>
        <w:tc>
          <w:tcPr>
            <w:tcW w:w="1830" w:type="dxa"/>
            <w:vAlign w:val="center"/>
          </w:tcPr>
          <w:p>
            <w:pPr>
              <w:widowControl w:val="0"/>
              <w:spacing w:after="0"/>
              <w:rPr>
                <w:rFonts w:ascii="仿宋" w:hAnsi="仿宋" w:eastAsia="仿宋" w:cs="仿宋"/>
                <w:sz w:val="24"/>
                <w:szCs w:val="24"/>
              </w:rPr>
            </w:pPr>
            <w:r>
              <w:rPr>
                <w:rFonts w:hint="eastAsia" w:ascii="仿宋" w:hAnsi="仿宋" w:eastAsia="仿宋" w:cs="仿宋"/>
                <w:sz w:val="24"/>
                <w:szCs w:val="24"/>
              </w:rPr>
              <w:t>研学线路特色</w:t>
            </w:r>
          </w:p>
        </w:tc>
        <w:tc>
          <w:tcPr>
            <w:tcW w:w="1773" w:type="dxa"/>
            <w:vAlign w:val="center"/>
          </w:tcPr>
          <w:p>
            <w:pPr>
              <w:widowControl w:val="0"/>
              <w:spacing w:after="0"/>
              <w:rPr>
                <w:rFonts w:ascii="仿宋" w:hAnsi="仿宋" w:eastAsia="仿宋" w:cs="仿宋"/>
                <w:sz w:val="24"/>
                <w:szCs w:val="24"/>
              </w:rPr>
            </w:pPr>
            <w:r>
              <w:rPr>
                <w:rFonts w:hint="eastAsia" w:ascii="仿宋" w:hAnsi="仿宋" w:eastAsia="仿宋" w:cs="仿宋"/>
                <w:sz w:val="24"/>
                <w:szCs w:val="24"/>
              </w:rPr>
              <w:t>研学课程实施</w:t>
            </w:r>
          </w:p>
        </w:tc>
        <w:tc>
          <w:tcPr>
            <w:tcW w:w="1716" w:type="dxa"/>
            <w:vAlign w:val="center"/>
          </w:tcPr>
          <w:p>
            <w:pPr>
              <w:widowControl w:val="0"/>
              <w:spacing w:after="0"/>
              <w:rPr>
                <w:rFonts w:ascii="仿宋" w:hAnsi="仿宋" w:eastAsia="仿宋" w:cs="仿宋"/>
                <w:sz w:val="24"/>
                <w:szCs w:val="24"/>
              </w:rPr>
            </w:pPr>
            <w:r>
              <w:rPr>
                <w:rFonts w:hint="eastAsia" w:ascii="仿宋" w:hAnsi="仿宋" w:eastAsia="仿宋" w:cs="仿宋"/>
                <w:sz w:val="24"/>
                <w:szCs w:val="24"/>
              </w:rPr>
              <w:t>基地硬件环境</w:t>
            </w:r>
          </w:p>
        </w:tc>
        <w:tc>
          <w:tcPr>
            <w:tcW w:w="1693" w:type="dxa"/>
            <w:vAlign w:val="center"/>
          </w:tcPr>
          <w:p>
            <w:pPr>
              <w:widowControl w:val="0"/>
              <w:spacing w:after="0"/>
              <w:rPr>
                <w:rFonts w:ascii="仿宋" w:hAnsi="仿宋" w:eastAsia="仿宋" w:cs="仿宋"/>
                <w:sz w:val="24"/>
                <w:szCs w:val="24"/>
              </w:rPr>
            </w:pPr>
            <w:r>
              <w:rPr>
                <w:rFonts w:hint="eastAsia" w:ascii="仿宋" w:hAnsi="仿宋" w:eastAsia="仿宋" w:cs="仿宋"/>
                <w:sz w:val="24"/>
                <w:szCs w:val="24"/>
              </w:rPr>
              <w:t>研学安全保障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1478" w:type="dxa"/>
            <w:gridSpan w:val="2"/>
            <w:vMerge w:val="continue"/>
            <w:vAlign w:val="center"/>
          </w:tcPr>
          <w:p>
            <w:pPr>
              <w:widowControl w:val="0"/>
              <w:spacing w:after="0"/>
              <w:rPr>
                <w:rFonts w:ascii="仿宋" w:hAnsi="仿宋" w:eastAsia="仿宋" w:cs="仿宋"/>
                <w:sz w:val="28"/>
                <w:szCs w:val="28"/>
              </w:rPr>
            </w:pPr>
          </w:p>
        </w:tc>
        <w:tc>
          <w:tcPr>
            <w:tcW w:w="1749" w:type="dxa"/>
            <w:vAlign w:val="center"/>
          </w:tcPr>
          <w:p>
            <w:pPr>
              <w:widowControl w:val="0"/>
              <w:spacing w:after="0"/>
              <w:rPr>
                <w:rFonts w:ascii="仿宋" w:hAnsi="仿宋" w:eastAsia="仿宋" w:cs="仿宋"/>
              </w:rPr>
            </w:pPr>
            <w:r>
              <w:rPr>
                <w:rFonts w:hint="eastAsia" w:ascii="仿宋" w:hAnsi="仿宋" w:eastAsia="仿宋" w:cs="仿宋"/>
              </w:rPr>
              <w:t>综合素质高</w:t>
            </w:r>
          </w:p>
          <w:p>
            <w:pPr>
              <w:widowControl w:val="0"/>
              <w:spacing w:after="0"/>
              <w:rPr>
                <w:rFonts w:ascii="仿宋" w:hAnsi="仿宋" w:eastAsia="仿宋" w:cs="仿宋"/>
              </w:rPr>
            </w:pPr>
            <w:r>
              <w:rPr>
                <w:rFonts w:hint="eastAsia" w:ascii="仿宋" w:hAnsi="仿宋" w:eastAsia="仿宋" w:cs="仿宋"/>
              </w:rPr>
              <w:t>文化知识储备丰富</w:t>
            </w:r>
          </w:p>
          <w:p>
            <w:pPr>
              <w:widowControl w:val="0"/>
              <w:spacing w:after="0"/>
              <w:rPr>
                <w:rFonts w:ascii="仿宋" w:hAnsi="仿宋" w:eastAsia="仿宋" w:cs="仿宋"/>
              </w:rPr>
            </w:pPr>
            <w:r>
              <w:rPr>
                <w:rFonts w:hint="eastAsia" w:ascii="仿宋" w:hAnsi="仿宋" w:eastAsia="仿宋" w:cs="仿宋"/>
              </w:rPr>
              <w:t>较强的课堂掌控力</w:t>
            </w:r>
          </w:p>
        </w:tc>
        <w:tc>
          <w:tcPr>
            <w:tcW w:w="1830" w:type="dxa"/>
            <w:vAlign w:val="center"/>
          </w:tcPr>
          <w:p>
            <w:pPr>
              <w:widowControl w:val="0"/>
              <w:spacing w:after="0"/>
              <w:rPr>
                <w:rFonts w:ascii="仿宋" w:hAnsi="仿宋" w:eastAsia="仿宋" w:cs="仿宋"/>
              </w:rPr>
            </w:pPr>
            <w:r>
              <w:rPr>
                <w:rFonts w:hint="eastAsia" w:ascii="仿宋" w:hAnsi="仿宋" w:eastAsia="仿宋" w:cs="仿宋"/>
              </w:rPr>
              <w:t>线路安排合理</w:t>
            </w:r>
          </w:p>
          <w:p>
            <w:pPr>
              <w:widowControl w:val="0"/>
              <w:spacing w:after="0"/>
              <w:rPr>
                <w:rFonts w:ascii="仿宋" w:hAnsi="仿宋" w:eastAsia="仿宋" w:cs="仿宋"/>
              </w:rPr>
            </w:pPr>
            <w:r>
              <w:rPr>
                <w:rFonts w:hint="eastAsia" w:ascii="仿宋" w:hAnsi="仿宋" w:eastAsia="仿宋" w:cs="仿宋"/>
              </w:rPr>
              <w:t>研学资源丰富</w:t>
            </w:r>
          </w:p>
          <w:p>
            <w:pPr>
              <w:widowControl w:val="0"/>
              <w:spacing w:after="0"/>
              <w:rPr>
                <w:rFonts w:ascii="仿宋" w:hAnsi="仿宋" w:eastAsia="仿宋" w:cs="仿宋"/>
              </w:rPr>
            </w:pPr>
            <w:r>
              <w:rPr>
                <w:rFonts w:hint="eastAsia" w:ascii="仿宋" w:hAnsi="仿宋" w:eastAsia="仿宋" w:cs="仿宋"/>
              </w:rPr>
              <w:t>独具宜昌特色</w:t>
            </w:r>
          </w:p>
        </w:tc>
        <w:tc>
          <w:tcPr>
            <w:tcW w:w="1773" w:type="dxa"/>
            <w:vAlign w:val="center"/>
          </w:tcPr>
          <w:p>
            <w:pPr>
              <w:widowControl w:val="0"/>
              <w:spacing w:after="0"/>
              <w:rPr>
                <w:rFonts w:ascii="仿宋" w:hAnsi="仿宋" w:eastAsia="仿宋" w:cs="仿宋"/>
              </w:rPr>
            </w:pPr>
            <w:r>
              <w:rPr>
                <w:rFonts w:hint="eastAsia" w:ascii="仿宋" w:hAnsi="仿宋" w:eastAsia="仿宋" w:cs="仿宋"/>
              </w:rPr>
              <w:t>课程实施流畅</w:t>
            </w:r>
          </w:p>
          <w:p>
            <w:pPr>
              <w:widowControl w:val="0"/>
              <w:spacing w:after="0"/>
              <w:rPr>
                <w:rFonts w:ascii="仿宋" w:hAnsi="仿宋" w:eastAsia="仿宋" w:cs="仿宋"/>
              </w:rPr>
            </w:pPr>
            <w:r>
              <w:rPr>
                <w:rFonts w:hint="eastAsia" w:ascii="仿宋" w:hAnsi="仿宋" w:eastAsia="仿宋" w:cs="仿宋"/>
              </w:rPr>
              <w:t>课程安排合理</w:t>
            </w:r>
          </w:p>
        </w:tc>
        <w:tc>
          <w:tcPr>
            <w:tcW w:w="1716" w:type="dxa"/>
            <w:vAlign w:val="center"/>
          </w:tcPr>
          <w:p>
            <w:pPr>
              <w:widowControl w:val="0"/>
              <w:spacing w:after="0"/>
              <w:rPr>
                <w:rFonts w:ascii="仿宋" w:hAnsi="仿宋" w:eastAsia="仿宋" w:cs="仿宋"/>
              </w:rPr>
            </w:pPr>
            <w:r>
              <w:rPr>
                <w:rFonts w:hint="eastAsia" w:ascii="仿宋" w:hAnsi="仿宋" w:eastAsia="仿宋" w:cs="仿宋"/>
              </w:rPr>
              <w:t>基地硬件设施完备</w:t>
            </w:r>
          </w:p>
          <w:p>
            <w:pPr>
              <w:widowControl w:val="0"/>
              <w:spacing w:after="0"/>
              <w:rPr>
                <w:rFonts w:ascii="仿宋" w:hAnsi="仿宋" w:eastAsia="仿宋" w:cs="仿宋"/>
              </w:rPr>
            </w:pPr>
            <w:r>
              <w:rPr>
                <w:rFonts w:hint="eastAsia" w:ascii="仿宋" w:hAnsi="仿宋" w:eastAsia="仿宋" w:cs="仿宋"/>
              </w:rPr>
              <w:t>研学环境舒适</w:t>
            </w:r>
          </w:p>
        </w:tc>
        <w:tc>
          <w:tcPr>
            <w:tcW w:w="1693" w:type="dxa"/>
            <w:vAlign w:val="center"/>
          </w:tcPr>
          <w:p>
            <w:pPr>
              <w:widowControl w:val="0"/>
              <w:spacing w:after="0"/>
              <w:rPr>
                <w:rFonts w:ascii="仿宋" w:hAnsi="仿宋" w:eastAsia="仿宋" w:cs="仿宋"/>
              </w:rPr>
            </w:pPr>
            <w:r>
              <w:rPr>
                <w:rFonts w:hint="eastAsia" w:ascii="仿宋" w:hAnsi="仿宋" w:eastAsia="仿宋" w:cs="仿宋"/>
              </w:rPr>
              <w:t>安全设施完备</w:t>
            </w:r>
          </w:p>
          <w:p>
            <w:pPr>
              <w:widowControl w:val="0"/>
              <w:spacing w:after="0"/>
              <w:rPr>
                <w:rFonts w:ascii="仿宋" w:hAnsi="仿宋" w:eastAsia="仿宋" w:cs="仿宋"/>
              </w:rPr>
            </w:pPr>
            <w:r>
              <w:rPr>
                <w:rFonts w:hint="eastAsia" w:ascii="仿宋" w:hAnsi="仿宋" w:eastAsia="仿宋" w:cs="仿宋"/>
              </w:rPr>
              <w:t>安全员配备合理</w:t>
            </w:r>
          </w:p>
          <w:p>
            <w:pPr>
              <w:widowControl w:val="0"/>
              <w:spacing w:after="0"/>
              <w:rPr>
                <w:rFonts w:ascii="仿宋" w:hAnsi="仿宋" w:eastAsia="仿宋" w:cs="仿宋"/>
              </w:rPr>
            </w:pPr>
            <w:r>
              <w:rPr>
                <w:rFonts w:hint="eastAsia" w:ascii="仿宋" w:hAnsi="仿宋" w:eastAsia="仿宋" w:cs="仿宋"/>
              </w:rPr>
              <w:t>安全预案完善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66" w:type="dxa"/>
            <w:vMerge w:val="restart"/>
            <w:vAlign w:val="center"/>
          </w:tcPr>
          <w:p>
            <w:pPr>
              <w:widowControl w:val="0"/>
              <w:spacing w:after="0"/>
              <w:rPr>
                <w:rFonts w:ascii="仿宋" w:hAnsi="仿宋" w:eastAsia="仿宋" w:cs="仿宋"/>
                <w:sz w:val="24"/>
                <w:szCs w:val="24"/>
              </w:rPr>
            </w:pPr>
            <w:r>
              <w:rPr>
                <w:rFonts w:hint="eastAsia" w:ascii="仿宋" w:hAnsi="仿宋" w:eastAsia="仿宋" w:cs="仿宋"/>
                <w:sz w:val="24"/>
                <w:szCs w:val="24"/>
              </w:rPr>
              <w:t>学</w:t>
            </w:r>
          </w:p>
          <w:p>
            <w:pPr>
              <w:widowControl w:val="0"/>
              <w:spacing w:after="0"/>
              <w:rPr>
                <w:rFonts w:ascii="仿宋" w:hAnsi="仿宋" w:eastAsia="仿宋" w:cs="仿宋"/>
                <w:sz w:val="24"/>
                <w:szCs w:val="24"/>
              </w:rPr>
            </w:pPr>
            <w:r>
              <w:rPr>
                <w:rFonts w:hint="eastAsia" w:ascii="仿宋" w:hAnsi="仿宋" w:eastAsia="仿宋" w:cs="仿宋"/>
                <w:sz w:val="24"/>
                <w:szCs w:val="24"/>
              </w:rPr>
              <w:t>生</w:t>
            </w:r>
          </w:p>
          <w:p>
            <w:pPr>
              <w:widowControl w:val="0"/>
              <w:spacing w:after="0"/>
              <w:rPr>
                <w:rFonts w:ascii="仿宋" w:hAnsi="仿宋" w:eastAsia="仿宋" w:cs="仿宋"/>
                <w:sz w:val="24"/>
                <w:szCs w:val="24"/>
              </w:rPr>
            </w:pPr>
            <w:r>
              <w:rPr>
                <w:rFonts w:hint="eastAsia" w:ascii="仿宋" w:hAnsi="仿宋" w:eastAsia="仿宋" w:cs="仿宋"/>
                <w:sz w:val="24"/>
                <w:szCs w:val="24"/>
              </w:rPr>
              <w:t>代</w:t>
            </w:r>
          </w:p>
          <w:p>
            <w:pPr>
              <w:widowControl w:val="0"/>
              <w:spacing w:after="0"/>
              <w:rPr>
                <w:rFonts w:ascii="仿宋" w:hAnsi="仿宋" w:eastAsia="仿宋" w:cs="仿宋"/>
                <w:sz w:val="24"/>
                <w:szCs w:val="24"/>
              </w:rPr>
            </w:pPr>
            <w:r>
              <w:rPr>
                <w:rFonts w:hint="eastAsia" w:ascii="仿宋" w:hAnsi="仿宋" w:eastAsia="仿宋" w:cs="仿宋"/>
                <w:sz w:val="24"/>
                <w:szCs w:val="24"/>
              </w:rPr>
              <w:t>表</w:t>
            </w:r>
          </w:p>
        </w:tc>
        <w:tc>
          <w:tcPr>
            <w:tcW w:w="1012" w:type="dxa"/>
            <w:vAlign w:val="center"/>
          </w:tcPr>
          <w:p>
            <w:pPr>
              <w:widowControl w:val="0"/>
              <w:spacing w:after="0"/>
              <w:rPr>
                <w:rFonts w:ascii="仿宋" w:hAnsi="仿宋" w:eastAsia="仿宋" w:cs="仿宋"/>
                <w:sz w:val="24"/>
                <w:szCs w:val="24"/>
              </w:rPr>
            </w:pPr>
          </w:p>
        </w:tc>
        <w:tc>
          <w:tcPr>
            <w:tcW w:w="1749" w:type="dxa"/>
            <w:vAlign w:val="center"/>
          </w:tcPr>
          <w:p>
            <w:pPr>
              <w:widowControl w:val="0"/>
              <w:spacing w:after="0"/>
              <w:rPr>
                <w:rFonts w:ascii="仿宋" w:hAnsi="仿宋" w:eastAsia="仿宋" w:cs="仿宋"/>
                <w:sz w:val="18"/>
                <w:szCs w:val="18"/>
              </w:rPr>
            </w:pPr>
          </w:p>
        </w:tc>
        <w:tc>
          <w:tcPr>
            <w:tcW w:w="1830" w:type="dxa"/>
            <w:vAlign w:val="center"/>
          </w:tcPr>
          <w:p>
            <w:pPr>
              <w:widowControl w:val="0"/>
              <w:spacing w:after="0"/>
              <w:rPr>
                <w:rFonts w:ascii="仿宋" w:hAnsi="仿宋" w:eastAsia="仿宋" w:cs="仿宋"/>
                <w:sz w:val="18"/>
                <w:szCs w:val="18"/>
              </w:rPr>
            </w:pPr>
          </w:p>
        </w:tc>
        <w:tc>
          <w:tcPr>
            <w:tcW w:w="1773" w:type="dxa"/>
            <w:vAlign w:val="center"/>
          </w:tcPr>
          <w:p>
            <w:pPr>
              <w:widowControl w:val="0"/>
              <w:spacing w:after="0"/>
              <w:rPr>
                <w:rFonts w:ascii="仿宋" w:hAnsi="仿宋" w:eastAsia="仿宋" w:cs="仿宋"/>
                <w:sz w:val="18"/>
                <w:szCs w:val="18"/>
              </w:rPr>
            </w:pPr>
          </w:p>
        </w:tc>
        <w:tc>
          <w:tcPr>
            <w:tcW w:w="1716" w:type="dxa"/>
            <w:vAlign w:val="center"/>
          </w:tcPr>
          <w:p>
            <w:pPr>
              <w:widowControl w:val="0"/>
              <w:spacing w:after="0"/>
              <w:rPr>
                <w:rFonts w:ascii="仿宋" w:hAnsi="仿宋" w:eastAsia="仿宋" w:cs="仿宋"/>
                <w:sz w:val="18"/>
                <w:szCs w:val="18"/>
              </w:rPr>
            </w:pPr>
          </w:p>
        </w:tc>
        <w:tc>
          <w:tcPr>
            <w:tcW w:w="1693" w:type="dxa"/>
            <w:vAlign w:val="center"/>
          </w:tcPr>
          <w:p>
            <w:pPr>
              <w:widowControl w:val="0"/>
              <w:spacing w:after="0"/>
              <w:rPr>
                <w:rFonts w:ascii="仿宋" w:hAnsi="仿宋" w:eastAsia="仿宋" w:cs="仿宋"/>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66" w:type="dxa"/>
            <w:vMerge w:val="continue"/>
            <w:vAlign w:val="center"/>
          </w:tcPr>
          <w:p>
            <w:pPr>
              <w:widowControl w:val="0"/>
              <w:spacing w:after="0"/>
              <w:rPr>
                <w:rFonts w:ascii="仿宋" w:hAnsi="仿宋" w:eastAsia="仿宋" w:cs="仿宋"/>
                <w:sz w:val="24"/>
                <w:szCs w:val="24"/>
              </w:rPr>
            </w:pPr>
          </w:p>
        </w:tc>
        <w:tc>
          <w:tcPr>
            <w:tcW w:w="1012" w:type="dxa"/>
            <w:vAlign w:val="center"/>
          </w:tcPr>
          <w:p>
            <w:pPr>
              <w:widowControl w:val="0"/>
              <w:spacing w:after="0"/>
              <w:rPr>
                <w:rFonts w:ascii="仿宋" w:hAnsi="仿宋" w:eastAsia="仿宋" w:cs="仿宋"/>
                <w:sz w:val="24"/>
                <w:szCs w:val="24"/>
              </w:rPr>
            </w:pPr>
          </w:p>
        </w:tc>
        <w:tc>
          <w:tcPr>
            <w:tcW w:w="1749" w:type="dxa"/>
            <w:vAlign w:val="center"/>
          </w:tcPr>
          <w:p>
            <w:pPr>
              <w:widowControl w:val="0"/>
              <w:spacing w:after="0"/>
              <w:rPr>
                <w:rFonts w:ascii="仿宋" w:hAnsi="仿宋" w:eastAsia="仿宋" w:cs="仿宋"/>
                <w:sz w:val="18"/>
                <w:szCs w:val="18"/>
              </w:rPr>
            </w:pPr>
          </w:p>
        </w:tc>
        <w:tc>
          <w:tcPr>
            <w:tcW w:w="1830" w:type="dxa"/>
            <w:vAlign w:val="center"/>
          </w:tcPr>
          <w:p>
            <w:pPr>
              <w:widowControl w:val="0"/>
              <w:spacing w:after="0"/>
              <w:rPr>
                <w:rFonts w:ascii="仿宋" w:hAnsi="仿宋" w:eastAsia="仿宋" w:cs="仿宋"/>
                <w:sz w:val="18"/>
                <w:szCs w:val="18"/>
              </w:rPr>
            </w:pPr>
          </w:p>
        </w:tc>
        <w:tc>
          <w:tcPr>
            <w:tcW w:w="1773" w:type="dxa"/>
            <w:vAlign w:val="center"/>
          </w:tcPr>
          <w:p>
            <w:pPr>
              <w:widowControl w:val="0"/>
              <w:spacing w:after="0"/>
              <w:rPr>
                <w:rFonts w:ascii="仿宋" w:hAnsi="仿宋" w:eastAsia="仿宋" w:cs="仿宋"/>
                <w:sz w:val="18"/>
                <w:szCs w:val="18"/>
              </w:rPr>
            </w:pPr>
          </w:p>
        </w:tc>
        <w:tc>
          <w:tcPr>
            <w:tcW w:w="1716" w:type="dxa"/>
            <w:vAlign w:val="center"/>
          </w:tcPr>
          <w:p>
            <w:pPr>
              <w:widowControl w:val="0"/>
              <w:spacing w:after="0"/>
              <w:rPr>
                <w:rFonts w:ascii="仿宋" w:hAnsi="仿宋" w:eastAsia="仿宋" w:cs="仿宋"/>
                <w:sz w:val="18"/>
                <w:szCs w:val="18"/>
              </w:rPr>
            </w:pPr>
          </w:p>
        </w:tc>
        <w:tc>
          <w:tcPr>
            <w:tcW w:w="1693" w:type="dxa"/>
            <w:vAlign w:val="center"/>
          </w:tcPr>
          <w:p>
            <w:pPr>
              <w:widowControl w:val="0"/>
              <w:spacing w:after="0"/>
              <w:rPr>
                <w:rFonts w:ascii="仿宋" w:hAnsi="仿宋" w:eastAsia="仿宋" w:cs="仿宋"/>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466" w:type="dxa"/>
            <w:vMerge w:val="continue"/>
            <w:vAlign w:val="center"/>
          </w:tcPr>
          <w:p>
            <w:pPr>
              <w:widowControl w:val="0"/>
              <w:spacing w:after="0"/>
              <w:rPr>
                <w:rFonts w:ascii="仿宋" w:hAnsi="仿宋" w:eastAsia="仿宋" w:cs="仿宋"/>
                <w:sz w:val="24"/>
                <w:szCs w:val="24"/>
              </w:rPr>
            </w:pPr>
          </w:p>
        </w:tc>
        <w:tc>
          <w:tcPr>
            <w:tcW w:w="1012" w:type="dxa"/>
            <w:vAlign w:val="center"/>
          </w:tcPr>
          <w:p>
            <w:pPr>
              <w:widowControl w:val="0"/>
              <w:spacing w:after="0"/>
              <w:rPr>
                <w:rFonts w:ascii="仿宋" w:hAnsi="仿宋" w:eastAsia="仿宋" w:cs="仿宋"/>
                <w:sz w:val="24"/>
                <w:szCs w:val="24"/>
              </w:rPr>
            </w:pPr>
          </w:p>
        </w:tc>
        <w:tc>
          <w:tcPr>
            <w:tcW w:w="1749" w:type="dxa"/>
            <w:vAlign w:val="center"/>
          </w:tcPr>
          <w:p>
            <w:pPr>
              <w:widowControl w:val="0"/>
              <w:spacing w:after="0"/>
              <w:rPr>
                <w:rFonts w:ascii="仿宋" w:hAnsi="仿宋" w:eastAsia="仿宋" w:cs="仿宋"/>
                <w:sz w:val="18"/>
                <w:szCs w:val="18"/>
              </w:rPr>
            </w:pPr>
          </w:p>
        </w:tc>
        <w:tc>
          <w:tcPr>
            <w:tcW w:w="1830" w:type="dxa"/>
            <w:vAlign w:val="center"/>
          </w:tcPr>
          <w:p>
            <w:pPr>
              <w:widowControl w:val="0"/>
              <w:spacing w:after="0"/>
              <w:rPr>
                <w:rFonts w:ascii="仿宋" w:hAnsi="仿宋" w:eastAsia="仿宋" w:cs="仿宋"/>
                <w:sz w:val="18"/>
                <w:szCs w:val="18"/>
              </w:rPr>
            </w:pPr>
          </w:p>
        </w:tc>
        <w:tc>
          <w:tcPr>
            <w:tcW w:w="1773" w:type="dxa"/>
            <w:vAlign w:val="center"/>
          </w:tcPr>
          <w:p>
            <w:pPr>
              <w:widowControl w:val="0"/>
              <w:spacing w:after="0"/>
              <w:rPr>
                <w:rFonts w:ascii="仿宋" w:hAnsi="仿宋" w:eastAsia="仿宋" w:cs="仿宋"/>
                <w:sz w:val="18"/>
                <w:szCs w:val="18"/>
              </w:rPr>
            </w:pPr>
          </w:p>
        </w:tc>
        <w:tc>
          <w:tcPr>
            <w:tcW w:w="1716" w:type="dxa"/>
            <w:vAlign w:val="center"/>
          </w:tcPr>
          <w:p>
            <w:pPr>
              <w:widowControl w:val="0"/>
              <w:spacing w:after="0"/>
              <w:rPr>
                <w:rFonts w:ascii="仿宋" w:hAnsi="仿宋" w:eastAsia="仿宋" w:cs="仿宋"/>
                <w:sz w:val="18"/>
                <w:szCs w:val="18"/>
              </w:rPr>
            </w:pPr>
          </w:p>
        </w:tc>
        <w:tc>
          <w:tcPr>
            <w:tcW w:w="1693" w:type="dxa"/>
            <w:vAlign w:val="center"/>
          </w:tcPr>
          <w:p>
            <w:pPr>
              <w:widowControl w:val="0"/>
              <w:spacing w:after="0"/>
              <w:rPr>
                <w:rFonts w:ascii="仿宋" w:hAnsi="仿宋" w:eastAsia="仿宋" w:cs="仿宋"/>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466" w:type="dxa"/>
            <w:vMerge w:val="continue"/>
            <w:vAlign w:val="center"/>
          </w:tcPr>
          <w:p>
            <w:pPr>
              <w:widowControl w:val="0"/>
              <w:spacing w:after="0"/>
              <w:rPr>
                <w:rFonts w:ascii="仿宋" w:hAnsi="仿宋" w:eastAsia="仿宋" w:cs="仿宋"/>
                <w:sz w:val="24"/>
                <w:szCs w:val="24"/>
              </w:rPr>
            </w:pPr>
          </w:p>
        </w:tc>
        <w:tc>
          <w:tcPr>
            <w:tcW w:w="1012" w:type="dxa"/>
            <w:vAlign w:val="center"/>
          </w:tcPr>
          <w:p>
            <w:pPr>
              <w:widowControl w:val="0"/>
              <w:spacing w:after="0"/>
              <w:rPr>
                <w:rFonts w:ascii="仿宋" w:hAnsi="仿宋" w:eastAsia="仿宋" w:cs="仿宋"/>
                <w:sz w:val="24"/>
                <w:szCs w:val="24"/>
              </w:rPr>
            </w:pPr>
          </w:p>
        </w:tc>
        <w:tc>
          <w:tcPr>
            <w:tcW w:w="1749" w:type="dxa"/>
            <w:vAlign w:val="center"/>
          </w:tcPr>
          <w:p>
            <w:pPr>
              <w:widowControl w:val="0"/>
              <w:spacing w:after="0"/>
              <w:rPr>
                <w:rFonts w:ascii="仿宋" w:hAnsi="仿宋" w:eastAsia="仿宋" w:cs="仿宋"/>
                <w:sz w:val="18"/>
                <w:szCs w:val="18"/>
              </w:rPr>
            </w:pPr>
          </w:p>
        </w:tc>
        <w:tc>
          <w:tcPr>
            <w:tcW w:w="1830" w:type="dxa"/>
            <w:vAlign w:val="center"/>
          </w:tcPr>
          <w:p>
            <w:pPr>
              <w:widowControl w:val="0"/>
              <w:spacing w:after="0"/>
              <w:rPr>
                <w:rFonts w:ascii="仿宋" w:hAnsi="仿宋" w:eastAsia="仿宋" w:cs="仿宋"/>
                <w:sz w:val="18"/>
                <w:szCs w:val="18"/>
              </w:rPr>
            </w:pPr>
          </w:p>
        </w:tc>
        <w:tc>
          <w:tcPr>
            <w:tcW w:w="1773" w:type="dxa"/>
            <w:vAlign w:val="center"/>
          </w:tcPr>
          <w:p>
            <w:pPr>
              <w:widowControl w:val="0"/>
              <w:spacing w:after="0"/>
              <w:rPr>
                <w:rFonts w:ascii="仿宋" w:hAnsi="仿宋" w:eastAsia="仿宋" w:cs="仿宋"/>
                <w:sz w:val="18"/>
                <w:szCs w:val="18"/>
              </w:rPr>
            </w:pPr>
          </w:p>
        </w:tc>
        <w:tc>
          <w:tcPr>
            <w:tcW w:w="1716" w:type="dxa"/>
            <w:vAlign w:val="center"/>
          </w:tcPr>
          <w:p>
            <w:pPr>
              <w:widowControl w:val="0"/>
              <w:spacing w:after="0"/>
              <w:rPr>
                <w:rFonts w:ascii="仿宋" w:hAnsi="仿宋" w:eastAsia="仿宋" w:cs="仿宋"/>
                <w:sz w:val="18"/>
                <w:szCs w:val="18"/>
              </w:rPr>
            </w:pPr>
          </w:p>
        </w:tc>
        <w:tc>
          <w:tcPr>
            <w:tcW w:w="1693" w:type="dxa"/>
            <w:vAlign w:val="center"/>
          </w:tcPr>
          <w:p>
            <w:pPr>
              <w:widowControl w:val="0"/>
              <w:spacing w:after="0"/>
              <w:rPr>
                <w:rFonts w:ascii="仿宋" w:hAnsi="仿宋" w:eastAsia="仿宋" w:cs="仿宋"/>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466" w:type="dxa"/>
            <w:vMerge w:val="continue"/>
            <w:vAlign w:val="center"/>
          </w:tcPr>
          <w:p>
            <w:pPr>
              <w:widowControl w:val="0"/>
              <w:spacing w:after="0"/>
              <w:rPr>
                <w:rFonts w:ascii="仿宋" w:hAnsi="仿宋" w:eastAsia="仿宋" w:cs="仿宋"/>
                <w:sz w:val="24"/>
                <w:szCs w:val="24"/>
              </w:rPr>
            </w:pPr>
          </w:p>
        </w:tc>
        <w:tc>
          <w:tcPr>
            <w:tcW w:w="1012" w:type="dxa"/>
            <w:vAlign w:val="center"/>
          </w:tcPr>
          <w:p>
            <w:pPr>
              <w:widowControl w:val="0"/>
              <w:spacing w:after="0"/>
              <w:rPr>
                <w:rFonts w:ascii="仿宋" w:hAnsi="仿宋" w:eastAsia="仿宋" w:cs="仿宋"/>
                <w:sz w:val="24"/>
                <w:szCs w:val="24"/>
              </w:rPr>
            </w:pPr>
          </w:p>
        </w:tc>
        <w:tc>
          <w:tcPr>
            <w:tcW w:w="1749" w:type="dxa"/>
            <w:vAlign w:val="center"/>
          </w:tcPr>
          <w:p>
            <w:pPr>
              <w:widowControl w:val="0"/>
              <w:spacing w:after="0"/>
              <w:rPr>
                <w:rFonts w:ascii="仿宋" w:hAnsi="仿宋" w:eastAsia="仿宋" w:cs="仿宋"/>
                <w:sz w:val="18"/>
                <w:szCs w:val="18"/>
              </w:rPr>
            </w:pPr>
          </w:p>
        </w:tc>
        <w:tc>
          <w:tcPr>
            <w:tcW w:w="1830" w:type="dxa"/>
            <w:vAlign w:val="center"/>
          </w:tcPr>
          <w:p>
            <w:pPr>
              <w:widowControl w:val="0"/>
              <w:spacing w:after="0"/>
              <w:rPr>
                <w:rFonts w:ascii="仿宋" w:hAnsi="仿宋" w:eastAsia="仿宋" w:cs="仿宋"/>
                <w:sz w:val="18"/>
                <w:szCs w:val="18"/>
              </w:rPr>
            </w:pPr>
          </w:p>
        </w:tc>
        <w:tc>
          <w:tcPr>
            <w:tcW w:w="1773" w:type="dxa"/>
            <w:vAlign w:val="center"/>
          </w:tcPr>
          <w:p>
            <w:pPr>
              <w:widowControl w:val="0"/>
              <w:spacing w:after="0"/>
              <w:rPr>
                <w:rFonts w:ascii="仿宋" w:hAnsi="仿宋" w:eastAsia="仿宋" w:cs="仿宋"/>
                <w:sz w:val="18"/>
                <w:szCs w:val="18"/>
              </w:rPr>
            </w:pPr>
          </w:p>
        </w:tc>
        <w:tc>
          <w:tcPr>
            <w:tcW w:w="1716" w:type="dxa"/>
            <w:vAlign w:val="center"/>
          </w:tcPr>
          <w:p>
            <w:pPr>
              <w:widowControl w:val="0"/>
              <w:spacing w:after="0"/>
              <w:rPr>
                <w:rFonts w:ascii="仿宋" w:hAnsi="仿宋" w:eastAsia="仿宋" w:cs="仿宋"/>
                <w:sz w:val="18"/>
                <w:szCs w:val="18"/>
              </w:rPr>
            </w:pPr>
          </w:p>
        </w:tc>
        <w:tc>
          <w:tcPr>
            <w:tcW w:w="1693" w:type="dxa"/>
            <w:vAlign w:val="center"/>
          </w:tcPr>
          <w:p>
            <w:pPr>
              <w:widowControl w:val="0"/>
              <w:spacing w:after="0"/>
              <w:rPr>
                <w:rFonts w:ascii="仿宋" w:hAnsi="仿宋" w:eastAsia="仿宋" w:cs="仿宋"/>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466" w:type="dxa"/>
            <w:vMerge w:val="restart"/>
            <w:vAlign w:val="center"/>
          </w:tcPr>
          <w:p>
            <w:pPr>
              <w:widowControl w:val="0"/>
              <w:spacing w:after="0"/>
              <w:rPr>
                <w:rFonts w:ascii="仿宋" w:hAnsi="仿宋" w:eastAsia="仿宋" w:cs="仿宋"/>
                <w:sz w:val="24"/>
                <w:szCs w:val="24"/>
              </w:rPr>
            </w:pPr>
            <w:r>
              <w:rPr>
                <w:rFonts w:hint="eastAsia" w:ascii="仿宋" w:hAnsi="仿宋" w:eastAsia="仿宋" w:cs="仿宋"/>
                <w:sz w:val="24"/>
                <w:szCs w:val="24"/>
              </w:rPr>
              <w:t>家长代表</w:t>
            </w:r>
          </w:p>
        </w:tc>
        <w:tc>
          <w:tcPr>
            <w:tcW w:w="1012" w:type="dxa"/>
            <w:vAlign w:val="center"/>
          </w:tcPr>
          <w:p>
            <w:pPr>
              <w:widowControl w:val="0"/>
              <w:spacing w:after="0"/>
              <w:rPr>
                <w:rFonts w:ascii="仿宋" w:hAnsi="仿宋" w:eastAsia="仿宋" w:cs="仿宋"/>
                <w:sz w:val="24"/>
                <w:szCs w:val="24"/>
              </w:rPr>
            </w:pPr>
          </w:p>
        </w:tc>
        <w:tc>
          <w:tcPr>
            <w:tcW w:w="1749" w:type="dxa"/>
            <w:vAlign w:val="center"/>
          </w:tcPr>
          <w:p>
            <w:pPr>
              <w:widowControl w:val="0"/>
              <w:spacing w:after="0"/>
              <w:rPr>
                <w:rFonts w:ascii="仿宋" w:hAnsi="仿宋" w:eastAsia="仿宋" w:cs="仿宋"/>
                <w:sz w:val="18"/>
                <w:szCs w:val="18"/>
              </w:rPr>
            </w:pPr>
          </w:p>
        </w:tc>
        <w:tc>
          <w:tcPr>
            <w:tcW w:w="1830" w:type="dxa"/>
            <w:vAlign w:val="center"/>
          </w:tcPr>
          <w:p>
            <w:pPr>
              <w:widowControl w:val="0"/>
              <w:spacing w:after="0"/>
              <w:rPr>
                <w:rFonts w:ascii="仿宋" w:hAnsi="仿宋" w:eastAsia="仿宋" w:cs="仿宋"/>
                <w:sz w:val="18"/>
                <w:szCs w:val="18"/>
              </w:rPr>
            </w:pPr>
          </w:p>
        </w:tc>
        <w:tc>
          <w:tcPr>
            <w:tcW w:w="1773" w:type="dxa"/>
            <w:vAlign w:val="center"/>
          </w:tcPr>
          <w:p>
            <w:pPr>
              <w:widowControl w:val="0"/>
              <w:spacing w:after="0"/>
              <w:rPr>
                <w:rFonts w:ascii="仿宋" w:hAnsi="仿宋" w:eastAsia="仿宋" w:cs="仿宋"/>
                <w:sz w:val="18"/>
                <w:szCs w:val="18"/>
              </w:rPr>
            </w:pPr>
          </w:p>
        </w:tc>
        <w:tc>
          <w:tcPr>
            <w:tcW w:w="1716" w:type="dxa"/>
            <w:vAlign w:val="center"/>
          </w:tcPr>
          <w:p>
            <w:pPr>
              <w:widowControl w:val="0"/>
              <w:spacing w:after="0"/>
              <w:rPr>
                <w:rFonts w:ascii="仿宋" w:hAnsi="仿宋" w:eastAsia="仿宋" w:cs="仿宋"/>
                <w:sz w:val="18"/>
                <w:szCs w:val="18"/>
              </w:rPr>
            </w:pPr>
          </w:p>
        </w:tc>
        <w:tc>
          <w:tcPr>
            <w:tcW w:w="1693" w:type="dxa"/>
            <w:vAlign w:val="center"/>
          </w:tcPr>
          <w:p>
            <w:pPr>
              <w:widowControl w:val="0"/>
              <w:spacing w:after="0"/>
              <w:rPr>
                <w:rFonts w:ascii="仿宋" w:hAnsi="仿宋" w:eastAsia="仿宋" w:cs="仿宋"/>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466" w:type="dxa"/>
            <w:vMerge w:val="continue"/>
            <w:vAlign w:val="center"/>
          </w:tcPr>
          <w:p>
            <w:pPr>
              <w:widowControl w:val="0"/>
              <w:spacing w:after="0"/>
              <w:rPr>
                <w:rFonts w:ascii="仿宋" w:hAnsi="仿宋" w:eastAsia="仿宋" w:cs="仿宋"/>
                <w:sz w:val="24"/>
                <w:szCs w:val="24"/>
              </w:rPr>
            </w:pPr>
          </w:p>
        </w:tc>
        <w:tc>
          <w:tcPr>
            <w:tcW w:w="1012" w:type="dxa"/>
            <w:vAlign w:val="center"/>
          </w:tcPr>
          <w:p>
            <w:pPr>
              <w:widowControl w:val="0"/>
              <w:spacing w:after="0"/>
              <w:rPr>
                <w:rFonts w:ascii="仿宋" w:hAnsi="仿宋" w:eastAsia="仿宋" w:cs="仿宋"/>
                <w:sz w:val="24"/>
                <w:szCs w:val="24"/>
              </w:rPr>
            </w:pPr>
          </w:p>
        </w:tc>
        <w:tc>
          <w:tcPr>
            <w:tcW w:w="1749" w:type="dxa"/>
            <w:vAlign w:val="center"/>
          </w:tcPr>
          <w:p>
            <w:pPr>
              <w:widowControl w:val="0"/>
              <w:spacing w:after="0"/>
              <w:rPr>
                <w:rFonts w:ascii="仿宋" w:hAnsi="仿宋" w:eastAsia="仿宋" w:cs="仿宋"/>
                <w:sz w:val="18"/>
                <w:szCs w:val="18"/>
              </w:rPr>
            </w:pPr>
          </w:p>
        </w:tc>
        <w:tc>
          <w:tcPr>
            <w:tcW w:w="1830" w:type="dxa"/>
            <w:vAlign w:val="center"/>
          </w:tcPr>
          <w:p>
            <w:pPr>
              <w:widowControl w:val="0"/>
              <w:spacing w:after="0"/>
              <w:rPr>
                <w:rFonts w:ascii="仿宋" w:hAnsi="仿宋" w:eastAsia="仿宋" w:cs="仿宋"/>
                <w:sz w:val="18"/>
                <w:szCs w:val="18"/>
              </w:rPr>
            </w:pPr>
          </w:p>
        </w:tc>
        <w:tc>
          <w:tcPr>
            <w:tcW w:w="1773" w:type="dxa"/>
            <w:vAlign w:val="center"/>
          </w:tcPr>
          <w:p>
            <w:pPr>
              <w:widowControl w:val="0"/>
              <w:spacing w:after="0"/>
              <w:rPr>
                <w:rFonts w:ascii="仿宋" w:hAnsi="仿宋" w:eastAsia="仿宋" w:cs="仿宋"/>
                <w:sz w:val="18"/>
                <w:szCs w:val="18"/>
              </w:rPr>
            </w:pPr>
          </w:p>
        </w:tc>
        <w:tc>
          <w:tcPr>
            <w:tcW w:w="1716" w:type="dxa"/>
            <w:vAlign w:val="center"/>
          </w:tcPr>
          <w:p>
            <w:pPr>
              <w:widowControl w:val="0"/>
              <w:spacing w:after="0"/>
              <w:rPr>
                <w:rFonts w:ascii="仿宋" w:hAnsi="仿宋" w:eastAsia="仿宋" w:cs="仿宋"/>
                <w:sz w:val="18"/>
                <w:szCs w:val="18"/>
              </w:rPr>
            </w:pPr>
          </w:p>
        </w:tc>
        <w:tc>
          <w:tcPr>
            <w:tcW w:w="1693" w:type="dxa"/>
            <w:vAlign w:val="center"/>
          </w:tcPr>
          <w:p>
            <w:pPr>
              <w:widowControl w:val="0"/>
              <w:spacing w:after="0"/>
              <w:rPr>
                <w:rFonts w:ascii="仿宋" w:hAnsi="仿宋" w:eastAsia="仿宋" w:cs="仿宋"/>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466" w:type="dxa"/>
            <w:vMerge w:val="restart"/>
            <w:vAlign w:val="center"/>
          </w:tcPr>
          <w:p>
            <w:pPr>
              <w:widowControl w:val="0"/>
              <w:spacing w:after="0"/>
              <w:rPr>
                <w:rFonts w:ascii="仿宋" w:hAnsi="仿宋" w:eastAsia="仿宋" w:cs="仿宋"/>
                <w:sz w:val="24"/>
                <w:szCs w:val="24"/>
              </w:rPr>
            </w:pPr>
            <w:r>
              <w:rPr>
                <w:rFonts w:hint="eastAsia" w:ascii="仿宋" w:hAnsi="仿宋" w:eastAsia="仿宋" w:cs="仿宋"/>
                <w:sz w:val="24"/>
                <w:szCs w:val="24"/>
              </w:rPr>
              <w:t>老师代表</w:t>
            </w:r>
          </w:p>
        </w:tc>
        <w:tc>
          <w:tcPr>
            <w:tcW w:w="1012" w:type="dxa"/>
            <w:vAlign w:val="center"/>
          </w:tcPr>
          <w:p>
            <w:pPr>
              <w:widowControl w:val="0"/>
              <w:spacing w:after="0"/>
              <w:rPr>
                <w:rFonts w:ascii="仿宋" w:hAnsi="仿宋" w:eastAsia="仿宋" w:cs="仿宋"/>
                <w:sz w:val="24"/>
                <w:szCs w:val="24"/>
              </w:rPr>
            </w:pPr>
          </w:p>
        </w:tc>
        <w:tc>
          <w:tcPr>
            <w:tcW w:w="1749" w:type="dxa"/>
            <w:vAlign w:val="center"/>
          </w:tcPr>
          <w:p>
            <w:pPr>
              <w:widowControl w:val="0"/>
              <w:spacing w:after="0"/>
              <w:rPr>
                <w:rFonts w:ascii="仿宋" w:hAnsi="仿宋" w:eastAsia="仿宋" w:cs="仿宋"/>
                <w:sz w:val="18"/>
                <w:szCs w:val="18"/>
              </w:rPr>
            </w:pPr>
          </w:p>
        </w:tc>
        <w:tc>
          <w:tcPr>
            <w:tcW w:w="1830" w:type="dxa"/>
            <w:vAlign w:val="center"/>
          </w:tcPr>
          <w:p>
            <w:pPr>
              <w:widowControl w:val="0"/>
              <w:spacing w:after="0"/>
              <w:rPr>
                <w:rFonts w:ascii="仿宋" w:hAnsi="仿宋" w:eastAsia="仿宋" w:cs="仿宋"/>
                <w:sz w:val="18"/>
                <w:szCs w:val="18"/>
              </w:rPr>
            </w:pPr>
          </w:p>
        </w:tc>
        <w:tc>
          <w:tcPr>
            <w:tcW w:w="1773" w:type="dxa"/>
            <w:vAlign w:val="center"/>
          </w:tcPr>
          <w:p>
            <w:pPr>
              <w:widowControl w:val="0"/>
              <w:spacing w:after="0"/>
              <w:rPr>
                <w:rFonts w:ascii="仿宋" w:hAnsi="仿宋" w:eastAsia="仿宋" w:cs="仿宋"/>
                <w:sz w:val="18"/>
                <w:szCs w:val="18"/>
              </w:rPr>
            </w:pPr>
          </w:p>
        </w:tc>
        <w:tc>
          <w:tcPr>
            <w:tcW w:w="1716" w:type="dxa"/>
            <w:vAlign w:val="center"/>
          </w:tcPr>
          <w:p>
            <w:pPr>
              <w:widowControl w:val="0"/>
              <w:spacing w:after="0"/>
              <w:rPr>
                <w:rFonts w:ascii="仿宋" w:hAnsi="仿宋" w:eastAsia="仿宋" w:cs="仿宋"/>
                <w:sz w:val="18"/>
                <w:szCs w:val="18"/>
              </w:rPr>
            </w:pPr>
          </w:p>
        </w:tc>
        <w:tc>
          <w:tcPr>
            <w:tcW w:w="1693" w:type="dxa"/>
            <w:vAlign w:val="center"/>
          </w:tcPr>
          <w:p>
            <w:pPr>
              <w:widowControl w:val="0"/>
              <w:spacing w:after="0"/>
              <w:rPr>
                <w:rFonts w:ascii="仿宋" w:hAnsi="仿宋" w:eastAsia="仿宋" w:cs="仿宋"/>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6" w:type="dxa"/>
            <w:vMerge w:val="continue"/>
            <w:vAlign w:val="center"/>
          </w:tcPr>
          <w:p>
            <w:pPr>
              <w:widowControl w:val="0"/>
              <w:spacing w:after="0"/>
              <w:rPr>
                <w:rFonts w:ascii="仿宋" w:hAnsi="仿宋" w:eastAsia="仿宋" w:cs="仿宋"/>
                <w:sz w:val="28"/>
                <w:szCs w:val="28"/>
              </w:rPr>
            </w:pPr>
          </w:p>
        </w:tc>
        <w:tc>
          <w:tcPr>
            <w:tcW w:w="1012" w:type="dxa"/>
            <w:vAlign w:val="center"/>
          </w:tcPr>
          <w:p>
            <w:pPr>
              <w:widowControl w:val="0"/>
              <w:spacing w:after="0"/>
              <w:rPr>
                <w:rFonts w:ascii="仿宋" w:hAnsi="仿宋" w:eastAsia="仿宋" w:cs="仿宋"/>
                <w:sz w:val="28"/>
                <w:szCs w:val="28"/>
              </w:rPr>
            </w:pPr>
          </w:p>
        </w:tc>
        <w:tc>
          <w:tcPr>
            <w:tcW w:w="1749" w:type="dxa"/>
            <w:vAlign w:val="center"/>
          </w:tcPr>
          <w:p>
            <w:pPr>
              <w:widowControl w:val="0"/>
              <w:spacing w:after="0"/>
              <w:rPr>
                <w:rFonts w:ascii="仿宋" w:hAnsi="仿宋" w:eastAsia="仿宋" w:cs="仿宋"/>
                <w:sz w:val="18"/>
                <w:szCs w:val="18"/>
              </w:rPr>
            </w:pPr>
          </w:p>
        </w:tc>
        <w:tc>
          <w:tcPr>
            <w:tcW w:w="1830" w:type="dxa"/>
            <w:vAlign w:val="center"/>
          </w:tcPr>
          <w:p>
            <w:pPr>
              <w:widowControl w:val="0"/>
              <w:spacing w:after="0"/>
              <w:rPr>
                <w:rFonts w:ascii="仿宋" w:hAnsi="仿宋" w:eastAsia="仿宋" w:cs="仿宋"/>
                <w:sz w:val="18"/>
                <w:szCs w:val="18"/>
              </w:rPr>
            </w:pPr>
          </w:p>
        </w:tc>
        <w:tc>
          <w:tcPr>
            <w:tcW w:w="1773" w:type="dxa"/>
            <w:vAlign w:val="center"/>
          </w:tcPr>
          <w:p>
            <w:pPr>
              <w:widowControl w:val="0"/>
              <w:spacing w:after="0"/>
              <w:rPr>
                <w:rFonts w:ascii="仿宋" w:hAnsi="仿宋" w:eastAsia="仿宋" w:cs="仿宋"/>
                <w:sz w:val="18"/>
                <w:szCs w:val="18"/>
              </w:rPr>
            </w:pPr>
          </w:p>
        </w:tc>
        <w:tc>
          <w:tcPr>
            <w:tcW w:w="1716" w:type="dxa"/>
            <w:vAlign w:val="center"/>
          </w:tcPr>
          <w:p>
            <w:pPr>
              <w:widowControl w:val="0"/>
              <w:spacing w:after="0"/>
              <w:rPr>
                <w:rFonts w:ascii="仿宋" w:hAnsi="仿宋" w:eastAsia="仿宋" w:cs="仿宋"/>
                <w:sz w:val="18"/>
                <w:szCs w:val="18"/>
              </w:rPr>
            </w:pPr>
          </w:p>
        </w:tc>
        <w:tc>
          <w:tcPr>
            <w:tcW w:w="1693" w:type="dxa"/>
            <w:vAlign w:val="center"/>
          </w:tcPr>
          <w:p>
            <w:pPr>
              <w:widowControl w:val="0"/>
              <w:spacing w:after="0"/>
              <w:rPr>
                <w:rFonts w:ascii="仿宋" w:hAnsi="仿宋" w:eastAsia="仿宋" w:cs="仿宋"/>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6" w:hRule="atLeast"/>
        </w:trPr>
        <w:tc>
          <w:tcPr>
            <w:tcW w:w="1478" w:type="dxa"/>
            <w:gridSpan w:val="2"/>
            <w:vAlign w:val="center"/>
          </w:tcPr>
          <w:p>
            <w:pPr>
              <w:widowControl w:val="0"/>
              <w:spacing w:after="0"/>
              <w:rPr>
                <w:rFonts w:ascii="仿宋" w:hAnsi="仿宋" w:eastAsia="仿宋" w:cs="仿宋"/>
                <w:color w:val="000000"/>
                <w:sz w:val="24"/>
                <w:szCs w:val="24"/>
              </w:rPr>
            </w:pPr>
            <w:r>
              <w:rPr>
                <w:rFonts w:hint="eastAsia" w:ascii="仿宋" w:hAnsi="仿宋" w:eastAsia="仿宋" w:cs="仿宋"/>
                <w:color w:val="000000"/>
                <w:sz w:val="24"/>
                <w:szCs w:val="24"/>
              </w:rPr>
              <w:t>详细意见</w:t>
            </w:r>
          </w:p>
        </w:tc>
        <w:tc>
          <w:tcPr>
            <w:tcW w:w="8761" w:type="dxa"/>
            <w:gridSpan w:val="5"/>
            <w:vAlign w:val="center"/>
          </w:tcPr>
          <w:p>
            <w:pPr>
              <w:widowControl w:val="0"/>
              <w:spacing w:after="0"/>
              <w:rPr>
                <w:rFonts w:ascii="仿宋" w:hAnsi="仿宋"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1478" w:type="dxa"/>
            <w:gridSpan w:val="2"/>
            <w:vAlign w:val="center"/>
          </w:tcPr>
          <w:p>
            <w:pPr>
              <w:widowControl w:val="0"/>
              <w:spacing w:after="0"/>
              <w:rPr>
                <w:rFonts w:ascii="仿宋" w:hAnsi="仿宋" w:eastAsia="仿宋" w:cs="仿宋"/>
                <w:sz w:val="28"/>
                <w:szCs w:val="28"/>
              </w:rPr>
            </w:pPr>
            <w:r>
              <w:rPr>
                <w:rFonts w:hint="eastAsia" w:ascii="仿宋" w:hAnsi="仿宋" w:eastAsia="仿宋" w:cs="仿宋"/>
                <w:color w:val="000000"/>
                <w:sz w:val="24"/>
                <w:szCs w:val="24"/>
              </w:rPr>
              <w:t>等级说明</w:t>
            </w:r>
          </w:p>
        </w:tc>
        <w:tc>
          <w:tcPr>
            <w:tcW w:w="8761" w:type="dxa"/>
            <w:gridSpan w:val="5"/>
            <w:vAlign w:val="center"/>
          </w:tcPr>
          <w:p>
            <w:pPr>
              <w:widowControl w:val="0"/>
              <w:spacing w:after="0"/>
              <w:rPr>
                <w:rFonts w:ascii="仿宋" w:hAnsi="仿宋" w:eastAsia="仿宋" w:cs="仿宋"/>
                <w:sz w:val="18"/>
                <w:szCs w:val="18"/>
              </w:rPr>
            </w:pPr>
            <w:r>
              <w:rPr>
                <w:rFonts w:hint="eastAsia" w:ascii="仿宋" w:hAnsi="仿宋" w:eastAsia="仿宋" w:cs="仿宋"/>
                <w:color w:val="000000"/>
                <w:sz w:val="24"/>
                <w:szCs w:val="24"/>
              </w:rPr>
              <w:t>A等优秀；B等良好；C等合格，D等有待改进。</w:t>
            </w:r>
          </w:p>
        </w:tc>
      </w:tr>
    </w:tbl>
    <w:p>
      <w:pPr>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rPr>
          <w:rFonts w:hint="eastAsia" w:ascii="仿宋" w:hAnsi="仿宋" w:eastAsia="仿宋"/>
          <w:b/>
          <w:color w:val="auto"/>
          <w:sz w:val="28"/>
          <w:szCs w:val="28"/>
          <w:lang w:val="en-US" w:eastAsia="zh-CN"/>
        </w:rPr>
      </w:pPr>
      <w:r>
        <w:rPr>
          <w:rFonts w:hint="eastAsia" w:ascii="仿宋" w:hAnsi="仿宋" w:eastAsia="仿宋"/>
          <w:b/>
          <w:color w:val="auto"/>
          <w:sz w:val="28"/>
          <w:szCs w:val="28"/>
          <w:lang w:val="en-US" w:eastAsia="zh-CN"/>
        </w:rPr>
        <w:t>安全事项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b w:val="0"/>
          <w:bCs/>
          <w:color w:val="auto"/>
          <w:sz w:val="28"/>
          <w:szCs w:val="28"/>
          <w:lang w:val="en-US" w:eastAsia="zh-CN"/>
        </w:rPr>
      </w:pPr>
      <w:r>
        <w:rPr>
          <w:rFonts w:hint="eastAsia" w:ascii="仿宋" w:hAnsi="仿宋" w:eastAsia="仿宋"/>
          <w:b w:val="0"/>
          <w:bCs/>
          <w:color w:val="auto"/>
          <w:sz w:val="28"/>
          <w:szCs w:val="28"/>
          <w:lang w:val="en-US" w:eastAsia="zh-CN"/>
        </w:rPr>
        <w:t>1</w:t>
      </w:r>
      <w:r>
        <w:rPr>
          <w:rFonts w:hint="default" w:ascii="仿宋" w:hAnsi="仿宋" w:eastAsia="仿宋"/>
          <w:b w:val="0"/>
          <w:bCs/>
          <w:color w:val="auto"/>
          <w:sz w:val="28"/>
          <w:szCs w:val="28"/>
          <w:lang w:val="en-US" w:eastAsia="zh-CN"/>
        </w:rPr>
        <w:t>．坚持“安全第一、预防为主、综合治理”的安全生产指导方针，安全责任落实到人，层层把关，杜绝安全隐患。</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b w:val="0"/>
          <w:bCs/>
          <w:color w:val="auto"/>
          <w:sz w:val="28"/>
          <w:szCs w:val="28"/>
          <w:lang w:val="en-US" w:eastAsia="zh-CN"/>
        </w:rPr>
      </w:pPr>
      <w:r>
        <w:rPr>
          <w:rFonts w:hint="default" w:ascii="仿宋" w:hAnsi="仿宋" w:eastAsia="仿宋"/>
          <w:b w:val="0"/>
          <w:bCs/>
          <w:color w:val="auto"/>
          <w:sz w:val="28"/>
          <w:szCs w:val="28"/>
          <w:lang w:val="en-US" w:eastAsia="zh-CN"/>
        </w:rPr>
        <w:t>2．电子监控已经实现景区全覆盖，总控进行巡查监督，保证指挥中心在调度上做出快速响应，做好紧急预案。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b w:val="0"/>
          <w:bCs/>
          <w:color w:val="auto"/>
          <w:sz w:val="28"/>
          <w:szCs w:val="28"/>
          <w:lang w:val="en-US" w:eastAsia="zh-CN"/>
        </w:rPr>
      </w:pPr>
      <w:r>
        <w:rPr>
          <w:rFonts w:hint="default" w:ascii="仿宋" w:hAnsi="仿宋" w:eastAsia="仿宋"/>
          <w:b w:val="0"/>
          <w:bCs/>
          <w:color w:val="auto"/>
          <w:sz w:val="28"/>
          <w:szCs w:val="28"/>
          <w:lang w:val="en-US" w:eastAsia="zh-CN"/>
        </w:rPr>
        <w:t>3．加强安全员持证上岗，安全员跟随班级活动，保障学生安全，并及时有效处理突发事件。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b w:val="0"/>
          <w:bCs/>
          <w:color w:val="auto"/>
          <w:sz w:val="28"/>
          <w:szCs w:val="28"/>
          <w:lang w:val="en-US" w:eastAsia="zh-CN"/>
        </w:rPr>
      </w:pPr>
      <w:r>
        <w:rPr>
          <w:rFonts w:hint="default" w:ascii="仿宋" w:hAnsi="仿宋" w:eastAsia="仿宋"/>
          <w:b w:val="0"/>
          <w:bCs/>
          <w:color w:val="auto"/>
          <w:sz w:val="28"/>
          <w:szCs w:val="28"/>
          <w:lang w:val="en-US" w:eastAsia="zh-CN"/>
        </w:rPr>
        <w:t>4．强化安全预案的编制和实施，做到安全预案人人知晓、人人过关。做好定期、不定期安全检查，签订层层安全责任状，强化安全问责制，有效预防安全隐患。</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b w:val="0"/>
          <w:bCs/>
          <w:color w:val="auto"/>
          <w:sz w:val="28"/>
          <w:szCs w:val="28"/>
          <w:lang w:val="en-US" w:eastAsia="zh-CN"/>
        </w:rPr>
      </w:pPr>
      <w:r>
        <w:rPr>
          <w:rFonts w:hint="default" w:ascii="仿宋" w:hAnsi="仿宋" w:eastAsia="仿宋"/>
          <w:b w:val="0"/>
          <w:bCs/>
          <w:color w:val="auto"/>
          <w:sz w:val="28"/>
          <w:szCs w:val="28"/>
          <w:lang w:val="en-US" w:eastAsia="zh-CN"/>
        </w:rPr>
        <w:t>5．定期举办各类安全培训、救援与疏散预案的演练，使救援机制得到有效落实，确保安全管理目标的实现。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b w:val="0"/>
          <w:bCs/>
          <w:color w:val="auto"/>
          <w:sz w:val="28"/>
          <w:szCs w:val="28"/>
          <w:lang w:val="en-US" w:eastAsia="zh-CN"/>
        </w:rPr>
      </w:pPr>
      <w:r>
        <w:rPr>
          <w:rFonts w:hint="default" w:ascii="仿宋" w:hAnsi="仿宋" w:eastAsia="仿宋"/>
          <w:b w:val="0"/>
          <w:bCs/>
          <w:color w:val="auto"/>
          <w:sz w:val="28"/>
          <w:szCs w:val="28"/>
          <w:lang w:val="en-US" w:eastAsia="zh-CN"/>
        </w:rPr>
        <w:t>6．基地配置专业的医务室和医疗救护装备，可以最短时间给学生处理意外伤害，保证研学安全有序进行；情况严重的及时拨打110、120、119寻求援助，以最快的速度把受伤的学生送往就近的医院救治，并通知家长；重大事故的处理移交上级相关部门，并采取有效措施，积极做好善后处理工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b w:val="0"/>
          <w:bCs/>
          <w:color w:val="auto"/>
          <w:sz w:val="28"/>
          <w:szCs w:val="28"/>
          <w:lang w:val="en-US" w:eastAsia="zh-CN"/>
        </w:rPr>
      </w:pPr>
      <w:r>
        <w:rPr>
          <w:rFonts w:hint="default" w:ascii="仿宋" w:hAnsi="仿宋" w:eastAsia="仿宋"/>
          <w:b w:val="0"/>
          <w:bCs/>
          <w:color w:val="auto"/>
          <w:sz w:val="28"/>
          <w:szCs w:val="28"/>
          <w:lang w:val="en-US" w:eastAsia="zh-CN"/>
        </w:rPr>
        <w:t>7．研学导师都是经过严格挑选，富有爱心、责任心，入职前统一接受专业培训，培训内容包括危机处理、儿童心理学及青少年辅导等。研学活动体验过程中，研学老师及安全员时刻提醒学生注意安全，并积极做好预防教育及措施，严禁在研学现场疯赶打闹，禁止进入危险区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b w:val="0"/>
          <w:bCs/>
          <w:color w:val="auto"/>
          <w:sz w:val="28"/>
          <w:szCs w:val="28"/>
          <w:lang w:val="en-US" w:eastAsia="zh-CN"/>
        </w:rPr>
      </w:pPr>
      <w:r>
        <w:rPr>
          <w:rFonts w:hint="default" w:ascii="仿宋" w:hAnsi="仿宋" w:eastAsia="仿宋"/>
          <w:b w:val="0"/>
          <w:bCs/>
          <w:color w:val="auto"/>
          <w:sz w:val="28"/>
          <w:szCs w:val="28"/>
          <w:lang w:val="en-US" w:eastAsia="zh-CN"/>
        </w:rPr>
        <w:t>8．旅游交通安全保障：旅游车、司机签约车队：专业公司空调旅游车，性能良好，并附有保险；司机具有有效驾驶牌照，有高度安全意识、举止有礼。禁止司机工作过劳而产生疲劳，影响行车安全。司机不可送团队到行程表内未列出之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b w:val="0"/>
          <w:bCs/>
          <w:color w:val="auto"/>
          <w:sz w:val="28"/>
          <w:szCs w:val="28"/>
          <w:lang w:val="en-US" w:eastAsia="zh-CN"/>
        </w:rPr>
      </w:pPr>
      <w:r>
        <w:rPr>
          <w:rFonts w:hint="default" w:ascii="仿宋" w:hAnsi="仿宋" w:eastAsia="仿宋"/>
          <w:b w:val="0"/>
          <w:bCs/>
          <w:color w:val="auto"/>
          <w:sz w:val="28"/>
          <w:szCs w:val="28"/>
          <w:lang w:val="en-US" w:eastAsia="zh-CN"/>
        </w:rPr>
        <w:t>9．餐饮安全保障：提供研学的用餐地点有食品安全许可证，厨房卫生、消防设施合格，餐食标准符合接待研学团队条件，营养、安全、符合青少年口味。</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b/>
          <w:color w:val="auto"/>
          <w:sz w:val="28"/>
          <w:szCs w:val="28"/>
          <w:lang w:val="en-US" w:eastAsia="zh-CN"/>
        </w:rPr>
      </w:pPr>
      <w:r>
        <w:rPr>
          <w:rFonts w:hint="default" w:ascii="仿宋" w:hAnsi="仿宋" w:eastAsia="仿宋"/>
          <w:b w:val="0"/>
          <w:bCs/>
          <w:color w:val="auto"/>
          <w:sz w:val="28"/>
          <w:szCs w:val="28"/>
          <w:lang w:val="en-US" w:eastAsia="zh-CN"/>
        </w:rPr>
        <w:t>备注：如遇因不可抗力造成的特殊情况，可临时适当调整课程内容。</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CB76AF"/>
    <w:multiLevelType w:val="singleLevel"/>
    <w:tmpl w:val="AACB76AF"/>
    <w:lvl w:ilvl="0" w:tentative="0">
      <w:start w:val="1"/>
      <w:numFmt w:val="decimal"/>
      <w:suff w:val="nothing"/>
      <w:lvlText w:val="（%1）"/>
      <w:lvlJc w:val="left"/>
    </w:lvl>
  </w:abstractNum>
  <w:abstractNum w:abstractNumId="1">
    <w:nsid w:val="2B31363C"/>
    <w:multiLevelType w:val="multilevel"/>
    <w:tmpl w:val="2B31363C"/>
    <w:lvl w:ilvl="0" w:tentative="0">
      <w:start w:val="1"/>
      <w:numFmt w:val="chineseCounting"/>
      <w:suff w:val="nothing"/>
      <w:lvlText w:val="%1、"/>
      <w:lvlJc w:val="left"/>
      <w:rPr>
        <w:rFonts w:hint="eastAsia"/>
      </w:rPr>
    </w:lvl>
    <w:lvl w:ilvl="1" w:tentative="0">
      <w:start w:val="1"/>
      <w:numFmt w:val="decimal"/>
      <w:suff w:val="nothing"/>
      <w:lvlText w:val="%2．"/>
      <w:lvlJc w:val="left"/>
      <w:rPr>
        <w:rFonts w:hint="eastAsia"/>
      </w:rPr>
    </w:lvl>
    <w:lvl w:ilvl="2" w:tentative="0">
      <w:start w:val="1"/>
      <w:numFmt w:val="decimal"/>
      <w:suff w:val="nothing"/>
      <w:lvlText w:val="（%3）"/>
      <w:lvlJc w:val="left"/>
      <w:rPr>
        <w:rFonts w:hint="eastAsia"/>
      </w:rPr>
    </w:lvl>
    <w:lvl w:ilvl="3" w:tentative="0">
      <w:start w:val="1"/>
      <w:numFmt w:val="decimalEnclosedCircleChinese"/>
      <w:suff w:val="nothing"/>
      <w:lvlText w:val="%4"/>
      <w:lvlJc w:val="left"/>
      <w:rPr>
        <w:rFonts w:hint="eastAsia"/>
      </w:rPr>
    </w:lvl>
    <w:lvl w:ilvl="4" w:tentative="0">
      <w:start w:val="1"/>
      <w:numFmt w:val="decimal"/>
      <w:suff w:val="nothing"/>
      <w:lvlText w:val="%5）"/>
      <w:lvlJc w:val="left"/>
      <w:rPr>
        <w:rFonts w:hint="eastAsia"/>
      </w:rPr>
    </w:lvl>
    <w:lvl w:ilvl="5" w:tentative="0">
      <w:start w:val="1"/>
      <w:numFmt w:val="lowerLetter"/>
      <w:suff w:val="nothing"/>
      <w:lvlText w:val="%6．"/>
      <w:lvlJc w:val="left"/>
      <w:rPr>
        <w:rFonts w:hint="eastAsia"/>
      </w:rPr>
    </w:lvl>
    <w:lvl w:ilvl="6" w:tentative="0">
      <w:start w:val="1"/>
      <w:numFmt w:val="lowerLetter"/>
      <w:suff w:val="nothing"/>
      <w:lvlText w:val="%7）"/>
      <w:lvlJc w:val="left"/>
      <w:rPr>
        <w:rFonts w:hint="eastAsia"/>
      </w:rPr>
    </w:lvl>
    <w:lvl w:ilvl="7" w:tentative="0">
      <w:start w:val="1"/>
      <w:numFmt w:val="lowerRoman"/>
      <w:suff w:val="nothing"/>
      <w:lvlText w:val="%8．"/>
      <w:lvlJc w:val="left"/>
      <w:rPr>
        <w:rFonts w:hint="eastAsia"/>
      </w:rPr>
    </w:lvl>
    <w:lvl w:ilvl="8" w:tentative="0">
      <w:start w:val="1"/>
      <w:numFmt w:val="lowerRoman"/>
      <w:suff w:val="nothing"/>
      <w:lvlText w:val="%9）"/>
      <w:lvlJc w:val="left"/>
      <w:rPr>
        <w:rFonts w:hint="eastAsia"/>
      </w:rPr>
    </w:lvl>
  </w:abstractNum>
  <w:abstractNum w:abstractNumId="2">
    <w:nsid w:val="2BB62CE7"/>
    <w:multiLevelType w:val="multilevel"/>
    <w:tmpl w:val="2BB62CE7"/>
    <w:lvl w:ilvl="0" w:tentative="0">
      <w:start w:val="3"/>
      <w:numFmt w:val="chineseCounting"/>
      <w:suff w:val="nothing"/>
      <w:lvlText w:val="%1、"/>
      <w:lvlJc w:val="left"/>
      <w:rPr>
        <w:rFonts w:hint="eastAsia"/>
      </w:rPr>
    </w:lvl>
    <w:lvl w:ilvl="1" w:tentative="0">
      <w:start w:val="1"/>
      <w:numFmt w:val="decimal"/>
      <w:suff w:val="nothing"/>
      <w:lvlText w:val="%2．"/>
      <w:lvlJc w:val="left"/>
      <w:rPr>
        <w:rFonts w:hint="eastAsia"/>
      </w:rPr>
    </w:lvl>
    <w:lvl w:ilvl="2" w:tentative="0">
      <w:start w:val="1"/>
      <w:numFmt w:val="decimal"/>
      <w:suff w:val="nothing"/>
      <w:lvlText w:val="（%3）"/>
      <w:lvlJc w:val="left"/>
      <w:rPr>
        <w:rFonts w:hint="eastAsia"/>
      </w:rPr>
    </w:lvl>
    <w:lvl w:ilvl="3" w:tentative="0">
      <w:start w:val="1"/>
      <w:numFmt w:val="decimalEnclosedCircleChinese"/>
      <w:suff w:val="nothing"/>
      <w:lvlText w:val="%4"/>
      <w:lvlJc w:val="left"/>
      <w:rPr>
        <w:rFonts w:hint="eastAsia"/>
      </w:rPr>
    </w:lvl>
    <w:lvl w:ilvl="4" w:tentative="0">
      <w:start w:val="1"/>
      <w:numFmt w:val="decimal"/>
      <w:suff w:val="nothing"/>
      <w:lvlText w:val="%5）"/>
      <w:lvlJc w:val="left"/>
      <w:rPr>
        <w:rFonts w:hint="eastAsia"/>
      </w:rPr>
    </w:lvl>
    <w:lvl w:ilvl="5" w:tentative="0">
      <w:start w:val="1"/>
      <w:numFmt w:val="lowerLetter"/>
      <w:suff w:val="nothing"/>
      <w:lvlText w:val="%6．"/>
      <w:lvlJc w:val="left"/>
      <w:rPr>
        <w:rFonts w:hint="eastAsia"/>
      </w:rPr>
    </w:lvl>
    <w:lvl w:ilvl="6" w:tentative="0">
      <w:start w:val="1"/>
      <w:numFmt w:val="lowerLetter"/>
      <w:suff w:val="nothing"/>
      <w:lvlText w:val="%7）"/>
      <w:lvlJc w:val="left"/>
      <w:rPr>
        <w:rFonts w:hint="eastAsia"/>
      </w:rPr>
    </w:lvl>
    <w:lvl w:ilvl="7" w:tentative="0">
      <w:start w:val="1"/>
      <w:numFmt w:val="lowerRoman"/>
      <w:suff w:val="nothing"/>
      <w:lvlText w:val="%8．"/>
      <w:lvlJc w:val="left"/>
      <w:rPr>
        <w:rFonts w:hint="eastAsia"/>
      </w:rPr>
    </w:lvl>
    <w:lvl w:ilvl="8" w:tentative="0">
      <w:start w:val="1"/>
      <w:numFmt w:val="lowerRoman"/>
      <w:suff w:val="nothing"/>
      <w:lvlText w:val="%9）"/>
      <w:lvlJc w:val="left"/>
      <w:rPr>
        <w:rFonts w:hint="eastAsia"/>
      </w:rPr>
    </w:lvl>
  </w:abstractNum>
  <w:abstractNum w:abstractNumId="3">
    <w:nsid w:val="7CFD4A83"/>
    <w:multiLevelType w:val="singleLevel"/>
    <w:tmpl w:val="7CFD4A83"/>
    <w:lvl w:ilvl="0" w:tentative="0">
      <w:start w:val="12"/>
      <w:numFmt w:val="chineseCounting"/>
      <w:suff w:val="nothing"/>
      <w:lvlText w:val="%1、"/>
      <w:lvlJc w:val="left"/>
      <w:rPr>
        <w:rFonts w:hint="eastAsi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D6299"/>
    <w:rsid w:val="006A0CC6"/>
    <w:rsid w:val="012F3D9F"/>
    <w:rsid w:val="02060D99"/>
    <w:rsid w:val="02394AD8"/>
    <w:rsid w:val="02EA3FAA"/>
    <w:rsid w:val="03BD58A6"/>
    <w:rsid w:val="045A30EC"/>
    <w:rsid w:val="04E04909"/>
    <w:rsid w:val="060C015D"/>
    <w:rsid w:val="06266A98"/>
    <w:rsid w:val="06510DDE"/>
    <w:rsid w:val="068A6A4F"/>
    <w:rsid w:val="068E5E78"/>
    <w:rsid w:val="06CD03DD"/>
    <w:rsid w:val="08BF641C"/>
    <w:rsid w:val="099D3DA7"/>
    <w:rsid w:val="0A3E5543"/>
    <w:rsid w:val="0CD3796A"/>
    <w:rsid w:val="0CD53695"/>
    <w:rsid w:val="0CEA5A07"/>
    <w:rsid w:val="0EC2486A"/>
    <w:rsid w:val="0F416A75"/>
    <w:rsid w:val="0FFD376A"/>
    <w:rsid w:val="10195536"/>
    <w:rsid w:val="10DC3893"/>
    <w:rsid w:val="113C22C3"/>
    <w:rsid w:val="1209537E"/>
    <w:rsid w:val="12995617"/>
    <w:rsid w:val="12A06D76"/>
    <w:rsid w:val="13F06130"/>
    <w:rsid w:val="14105177"/>
    <w:rsid w:val="1588258D"/>
    <w:rsid w:val="159F3053"/>
    <w:rsid w:val="17D41E6F"/>
    <w:rsid w:val="18557094"/>
    <w:rsid w:val="1864717F"/>
    <w:rsid w:val="18832ACC"/>
    <w:rsid w:val="189B66DE"/>
    <w:rsid w:val="19230C9B"/>
    <w:rsid w:val="1A5E1200"/>
    <w:rsid w:val="1A602092"/>
    <w:rsid w:val="1AA82D44"/>
    <w:rsid w:val="1B390DC8"/>
    <w:rsid w:val="1B723BED"/>
    <w:rsid w:val="1BB9405D"/>
    <w:rsid w:val="1EC5074C"/>
    <w:rsid w:val="1F292BD8"/>
    <w:rsid w:val="1FA93CDB"/>
    <w:rsid w:val="1FB44A1B"/>
    <w:rsid w:val="1FE10287"/>
    <w:rsid w:val="20843491"/>
    <w:rsid w:val="21856B87"/>
    <w:rsid w:val="21A27E07"/>
    <w:rsid w:val="220778DB"/>
    <w:rsid w:val="22A52480"/>
    <w:rsid w:val="234904DA"/>
    <w:rsid w:val="23E83062"/>
    <w:rsid w:val="23F52AA0"/>
    <w:rsid w:val="24130FC0"/>
    <w:rsid w:val="25722296"/>
    <w:rsid w:val="2581333F"/>
    <w:rsid w:val="25CA1DAB"/>
    <w:rsid w:val="27E539B3"/>
    <w:rsid w:val="28E86A53"/>
    <w:rsid w:val="29300375"/>
    <w:rsid w:val="29717DA8"/>
    <w:rsid w:val="29EC14AA"/>
    <w:rsid w:val="2A467D64"/>
    <w:rsid w:val="2ACF2A23"/>
    <w:rsid w:val="2AFC72FD"/>
    <w:rsid w:val="2B460442"/>
    <w:rsid w:val="2B671D30"/>
    <w:rsid w:val="2B8673C3"/>
    <w:rsid w:val="2C205816"/>
    <w:rsid w:val="2C41447B"/>
    <w:rsid w:val="2C4E31E3"/>
    <w:rsid w:val="2C59105E"/>
    <w:rsid w:val="2DA32A73"/>
    <w:rsid w:val="2DB83265"/>
    <w:rsid w:val="2DBB3EFF"/>
    <w:rsid w:val="2EBD51F4"/>
    <w:rsid w:val="2EC152A8"/>
    <w:rsid w:val="2F0151BD"/>
    <w:rsid w:val="309F7B03"/>
    <w:rsid w:val="314C19AE"/>
    <w:rsid w:val="32FD2709"/>
    <w:rsid w:val="33CD15A5"/>
    <w:rsid w:val="33DB189E"/>
    <w:rsid w:val="34BA3904"/>
    <w:rsid w:val="34D54B41"/>
    <w:rsid w:val="357C0730"/>
    <w:rsid w:val="3632011E"/>
    <w:rsid w:val="364863E1"/>
    <w:rsid w:val="367243DA"/>
    <w:rsid w:val="36810FA7"/>
    <w:rsid w:val="369C5C1B"/>
    <w:rsid w:val="36AA783D"/>
    <w:rsid w:val="37BB066B"/>
    <w:rsid w:val="380C77E5"/>
    <w:rsid w:val="38D106AF"/>
    <w:rsid w:val="398302C9"/>
    <w:rsid w:val="39850593"/>
    <w:rsid w:val="3A8712F8"/>
    <w:rsid w:val="3AF61D18"/>
    <w:rsid w:val="3B9223AE"/>
    <w:rsid w:val="3B9D759C"/>
    <w:rsid w:val="3C3D6187"/>
    <w:rsid w:val="3D813B03"/>
    <w:rsid w:val="3D936337"/>
    <w:rsid w:val="3E4B734B"/>
    <w:rsid w:val="3E8B1D4B"/>
    <w:rsid w:val="408464A7"/>
    <w:rsid w:val="40967A39"/>
    <w:rsid w:val="40DA0596"/>
    <w:rsid w:val="40F1582D"/>
    <w:rsid w:val="411866A9"/>
    <w:rsid w:val="422F40DC"/>
    <w:rsid w:val="42703136"/>
    <w:rsid w:val="42840629"/>
    <w:rsid w:val="450303BD"/>
    <w:rsid w:val="45AE0A01"/>
    <w:rsid w:val="47A31C70"/>
    <w:rsid w:val="486252EF"/>
    <w:rsid w:val="4A84030F"/>
    <w:rsid w:val="4BC17C05"/>
    <w:rsid w:val="4BE146AD"/>
    <w:rsid w:val="4C644748"/>
    <w:rsid w:val="4D6E4B45"/>
    <w:rsid w:val="4DE30681"/>
    <w:rsid w:val="4F8B3034"/>
    <w:rsid w:val="4FEF080E"/>
    <w:rsid w:val="507064E3"/>
    <w:rsid w:val="51613C71"/>
    <w:rsid w:val="528B6E1B"/>
    <w:rsid w:val="531A23F5"/>
    <w:rsid w:val="531E4C78"/>
    <w:rsid w:val="53B2558B"/>
    <w:rsid w:val="53FA77F0"/>
    <w:rsid w:val="545951FB"/>
    <w:rsid w:val="552733F4"/>
    <w:rsid w:val="554C3466"/>
    <w:rsid w:val="558373D3"/>
    <w:rsid w:val="55BE590C"/>
    <w:rsid w:val="56072C4F"/>
    <w:rsid w:val="56403575"/>
    <w:rsid w:val="56AF5016"/>
    <w:rsid w:val="57111730"/>
    <w:rsid w:val="57A31B49"/>
    <w:rsid w:val="584178CF"/>
    <w:rsid w:val="584E6682"/>
    <w:rsid w:val="58935C0C"/>
    <w:rsid w:val="58C73792"/>
    <w:rsid w:val="58CD2AE1"/>
    <w:rsid w:val="59440368"/>
    <w:rsid w:val="59525311"/>
    <w:rsid w:val="59D03034"/>
    <w:rsid w:val="5B07134B"/>
    <w:rsid w:val="5D143754"/>
    <w:rsid w:val="5D174753"/>
    <w:rsid w:val="5DD72981"/>
    <w:rsid w:val="5E7737A3"/>
    <w:rsid w:val="5E967798"/>
    <w:rsid w:val="5E9710B2"/>
    <w:rsid w:val="5ECE5648"/>
    <w:rsid w:val="5EE83BEE"/>
    <w:rsid w:val="5FCA30D0"/>
    <w:rsid w:val="60052521"/>
    <w:rsid w:val="605B345A"/>
    <w:rsid w:val="616A27BD"/>
    <w:rsid w:val="617F103C"/>
    <w:rsid w:val="618B6A93"/>
    <w:rsid w:val="619F6114"/>
    <w:rsid w:val="61A21C9D"/>
    <w:rsid w:val="63704540"/>
    <w:rsid w:val="63C04885"/>
    <w:rsid w:val="64C35117"/>
    <w:rsid w:val="64F732CC"/>
    <w:rsid w:val="6716165E"/>
    <w:rsid w:val="67247DCE"/>
    <w:rsid w:val="67872338"/>
    <w:rsid w:val="696A6232"/>
    <w:rsid w:val="69D939D1"/>
    <w:rsid w:val="69FA3DDC"/>
    <w:rsid w:val="6A536A43"/>
    <w:rsid w:val="6C69497D"/>
    <w:rsid w:val="6C7C6CBB"/>
    <w:rsid w:val="6D031F80"/>
    <w:rsid w:val="6DAC0F59"/>
    <w:rsid w:val="6DBC5A57"/>
    <w:rsid w:val="6E924D4F"/>
    <w:rsid w:val="6EF10440"/>
    <w:rsid w:val="6FA93912"/>
    <w:rsid w:val="700D7FFA"/>
    <w:rsid w:val="701A5FC6"/>
    <w:rsid w:val="708C64B8"/>
    <w:rsid w:val="70CE3275"/>
    <w:rsid w:val="72015796"/>
    <w:rsid w:val="737E40F1"/>
    <w:rsid w:val="73C73C41"/>
    <w:rsid w:val="748F12E9"/>
    <w:rsid w:val="74CE7C4A"/>
    <w:rsid w:val="765242DE"/>
    <w:rsid w:val="766D748C"/>
    <w:rsid w:val="76AF0026"/>
    <w:rsid w:val="78292C07"/>
    <w:rsid w:val="7A6F5C7C"/>
    <w:rsid w:val="7AA70A8E"/>
    <w:rsid w:val="7B707956"/>
    <w:rsid w:val="7BF04696"/>
    <w:rsid w:val="7C994B94"/>
    <w:rsid w:val="7CA40FE2"/>
    <w:rsid w:val="7D0D6774"/>
    <w:rsid w:val="7D386FA6"/>
    <w:rsid w:val="7DC65F84"/>
    <w:rsid w:val="7DF40A2B"/>
    <w:rsid w:val="7E2A3299"/>
    <w:rsid w:val="7E834247"/>
    <w:rsid w:val="7F8001F5"/>
    <w:rsid w:val="7FA83EF8"/>
    <w:rsid w:val="7FB1332B"/>
    <w:rsid w:val="7FB8556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 w:type="paragraph"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hyperlink" Target="http://www.5jjc.net/p5j0/575581605143/" TargetMode="Externa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Office_11.1.0.9926_F1E327BC-269C-435d-A152-05C5408002CA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刘辉</dc:creator>
  <cp:lastModifiedBy>周斌</cp:lastModifiedBy>
  <dcterms:modified xsi:type="dcterms:W3CDTF">2020-09-19T06:24:37Z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