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仿宋" w:hAnsi="仿宋" w:eastAsia="仿宋"/>
          <w:sz w:val="28"/>
          <w:szCs w:val="28"/>
          <w:lang w:val="en-US"/>
        </w:rPr>
      </w:pPr>
      <w:r>
        <w:rPr>
          <w:rFonts w:hint="eastAsia" w:ascii="仿宋" w:hAnsi="仿宋" w:eastAsia="仿宋"/>
          <w:b/>
          <w:sz w:val="28"/>
          <w:szCs w:val="28"/>
          <w:lang w:val="en-US" w:eastAsia="zh-CN"/>
        </w:rPr>
        <w:t>巴人轻生死 土家重别离 血脉一相承 歌舞寄相思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----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三峡人家研学</w:t>
      </w:r>
      <w:r>
        <w:rPr>
          <w:rFonts w:ascii="仿宋" w:hAnsi="仿宋" w:eastAsia="仿宋"/>
          <w:sz w:val="28"/>
          <w:szCs w:val="28"/>
        </w:rPr>
        <w:t>基地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ascii="仿宋" w:hAnsi="仿宋" w:eastAsia="仿宋"/>
          <w:b/>
          <w:sz w:val="28"/>
          <w:szCs w:val="28"/>
        </w:rPr>
        <w:t>一</w:t>
      </w:r>
      <w:r>
        <w:rPr>
          <w:rFonts w:hint="eastAsia" w:ascii="仿宋" w:hAnsi="仿宋" w:eastAsia="仿宋"/>
          <w:b/>
          <w:sz w:val="28"/>
          <w:szCs w:val="28"/>
        </w:rPr>
        <w:t>、</w:t>
      </w:r>
      <w:r>
        <w:rPr>
          <w:rFonts w:ascii="仿宋" w:hAnsi="仿宋" w:eastAsia="仿宋"/>
          <w:b/>
          <w:sz w:val="28"/>
          <w:szCs w:val="28"/>
        </w:rPr>
        <w:t>课程名称</w:t>
      </w:r>
      <w:r>
        <w:rPr>
          <w:rFonts w:hint="eastAsia" w:ascii="仿宋" w:hAnsi="仿宋" w:eastAsia="仿宋"/>
          <w:b/>
          <w:sz w:val="28"/>
          <w:szCs w:val="28"/>
        </w:rPr>
        <w:t>：</w:t>
      </w:r>
      <w:r>
        <w:rPr>
          <w:rFonts w:hint="eastAsia" w:ascii="仿宋" w:hAnsi="仿宋" w:eastAsia="仿宋"/>
          <w:b w:val="0"/>
          <w:bCs/>
          <w:sz w:val="28"/>
          <w:szCs w:val="28"/>
          <w:lang w:val="en-US" w:eastAsia="zh-CN"/>
        </w:rPr>
        <w:t>巴人轻生死 土家重别离 血脉一相承 歌舞寄相思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/>
          <w:b/>
          <w:sz w:val="28"/>
          <w:szCs w:val="28"/>
        </w:rPr>
      </w:pPr>
      <w:r>
        <w:rPr>
          <w:rFonts w:ascii="仿宋" w:hAnsi="仿宋" w:eastAsia="仿宋"/>
          <w:b/>
          <w:sz w:val="28"/>
          <w:szCs w:val="28"/>
        </w:rPr>
        <w:t>二</w:t>
      </w:r>
      <w:r>
        <w:rPr>
          <w:rFonts w:hint="eastAsia" w:ascii="仿宋" w:hAnsi="仿宋" w:eastAsia="仿宋"/>
          <w:b/>
          <w:sz w:val="28"/>
          <w:szCs w:val="28"/>
        </w:rPr>
        <w:t>、</w:t>
      </w:r>
      <w:r>
        <w:rPr>
          <w:rFonts w:ascii="仿宋" w:hAnsi="仿宋" w:eastAsia="仿宋"/>
          <w:b/>
          <w:sz w:val="28"/>
          <w:szCs w:val="28"/>
        </w:rPr>
        <w:t>课程内容</w:t>
      </w:r>
      <w:r>
        <w:rPr>
          <w:rFonts w:hint="eastAsia" w:ascii="仿宋" w:hAnsi="仿宋" w:eastAsia="仿宋"/>
          <w:b/>
          <w:sz w:val="28"/>
          <w:szCs w:val="28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/>
          <w:b w:val="0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巴人生性积极乐观，在恶劣的环境中艰难生存，但还是不忘载歌载舞，表达对美好生活的向往</w:t>
      </w:r>
      <w:r>
        <w:rPr>
          <w:rFonts w:hint="eastAsia" w:ascii="仿宋" w:hAnsi="仿宋" w:eastAsia="仿宋" w:cs="仿宋"/>
          <w:bCs/>
          <w:sz w:val="28"/>
          <w:szCs w:val="28"/>
          <w:lang w:val="en-US" w:eastAsia="zh-CN"/>
        </w:rPr>
        <w:t>，</w:t>
      </w:r>
      <w:r>
        <w:rPr>
          <w:rFonts w:hint="eastAsia" w:ascii="仿宋" w:hAnsi="仿宋" w:eastAsia="仿宋" w:cs="仿宋"/>
          <w:bCs/>
          <w:sz w:val="28"/>
          <w:szCs w:val="28"/>
        </w:rPr>
        <w:t>哪怕是在战斗中，面对生死，他们也是淡然处之，在战斗的间隙载歌载舞。</w:t>
      </w:r>
      <w:r>
        <w:rPr>
          <w:rFonts w:hint="eastAsia" w:ascii="仿宋" w:hAnsi="仿宋" w:eastAsia="仿宋" w:cs="仿宋"/>
          <w:bCs/>
          <w:sz w:val="28"/>
          <w:szCs w:val="28"/>
          <w:lang w:val="en-US" w:eastAsia="zh-CN"/>
        </w:rPr>
        <w:t>在助周灭商的战斗中，巴人前歌后舞，极大鼓舞了军队的士气，在历史上留下了浓墨重彩的一笔</w:t>
      </w:r>
      <w:r>
        <w:rPr>
          <w:rFonts w:hint="eastAsia" w:ascii="仿宋" w:hAnsi="仿宋" w:eastAsia="仿宋"/>
          <w:b w:val="0"/>
          <w:bCs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/>
          <w:b w:val="0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 w:val="0"/>
          <w:bCs/>
          <w:sz w:val="28"/>
          <w:szCs w:val="28"/>
          <w:lang w:val="en-US" w:eastAsia="zh-CN"/>
        </w:rPr>
        <w:t>巴人的后裔土家人，继承了巴人的性格，天生积极乐观，他们在纪念逝者的仪式上，依然跳着舞蹈。中国的舞蹈艺术家们在这种舞蹈的基础上经过改良创作了“巴山舞”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/>
          <w:b w:val="0"/>
          <w:bCs/>
          <w:sz w:val="28"/>
          <w:szCs w:val="28"/>
          <w:lang w:val="en-US" w:eastAsia="zh-CN"/>
        </w:rPr>
      </w:pPr>
      <w:r>
        <w:rPr>
          <w:rFonts w:ascii="Verdana" w:hAnsi="Verdana" w:eastAsia="宋体" w:cs="Verdana"/>
          <w:i w:val="0"/>
          <w:caps w:val="0"/>
          <w:color w:val="000000"/>
          <w:spacing w:val="0"/>
          <w:sz w:val="21"/>
          <w:szCs w:val="21"/>
          <w:u w:val="none"/>
        </w:rPr>
        <w:drawing>
          <wp:inline distT="0" distB="0" distL="114300" distR="114300">
            <wp:extent cx="5255895" cy="3479165"/>
            <wp:effectExtent l="0" t="0" r="1905" b="698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479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仿宋" w:hAnsi="仿宋" w:eastAsia="仿宋"/>
          <w:b w:val="0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 w:val="0"/>
          <w:bCs/>
          <w:sz w:val="28"/>
          <w:szCs w:val="28"/>
          <w:lang w:val="en-US" w:eastAsia="zh-CN"/>
        </w:rPr>
        <w:t>重点：了解巴族和土家族的历史。了解巴山舞的由来。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仿宋" w:hAnsi="仿宋" w:eastAsia="仿宋"/>
          <w:b w:val="0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 w:val="0"/>
          <w:bCs/>
          <w:sz w:val="28"/>
          <w:szCs w:val="28"/>
          <w:lang w:val="en-US" w:eastAsia="zh-CN"/>
        </w:rPr>
        <w:t>难点：跳好巴山舞。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/>
          <w:b/>
          <w:sz w:val="28"/>
          <w:szCs w:val="28"/>
        </w:rPr>
      </w:pPr>
      <w:r>
        <w:rPr>
          <w:rFonts w:ascii="仿宋" w:hAnsi="仿宋" w:eastAsia="仿宋"/>
          <w:b/>
          <w:sz w:val="28"/>
          <w:szCs w:val="28"/>
        </w:rPr>
        <w:t>课程目标</w:t>
      </w:r>
      <w:r>
        <w:rPr>
          <w:rFonts w:hint="eastAsia" w:ascii="仿宋" w:hAnsi="仿宋" w:eastAsia="仿宋"/>
          <w:b/>
          <w:sz w:val="28"/>
          <w:szCs w:val="28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仿宋" w:hAnsi="仿宋" w:eastAsia="仿宋"/>
          <w:b w:val="0"/>
          <w:bCs/>
          <w:sz w:val="28"/>
          <w:szCs w:val="28"/>
          <w:lang w:eastAsia="zh-CN"/>
        </w:rPr>
      </w:pPr>
      <w:r>
        <w:rPr>
          <w:rFonts w:hint="eastAsia" w:ascii="仿宋" w:hAnsi="仿宋" w:eastAsia="仿宋"/>
          <w:b w:val="0"/>
          <w:bCs/>
          <w:sz w:val="28"/>
          <w:szCs w:val="28"/>
          <w:lang w:eastAsia="zh-CN"/>
        </w:rPr>
        <w:t>价值认同：</w:t>
      </w:r>
      <w:r>
        <w:rPr>
          <w:rFonts w:hint="eastAsia" w:ascii="仿宋" w:hAnsi="仿宋" w:eastAsia="仿宋"/>
          <w:b w:val="0"/>
          <w:bCs/>
          <w:sz w:val="28"/>
          <w:szCs w:val="28"/>
          <w:lang w:val="en-US" w:eastAsia="zh-CN"/>
        </w:rPr>
        <w:t>中国的舞蹈艺术百花齐放，经过艺术家们的融汇创造，形成了诸多现代流行舞蹈。和洋文化相比，他们同样璀璨夺目。同学们要建立民族自信、文化自信。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仿宋" w:hAnsi="仿宋" w:eastAsia="仿宋"/>
          <w:b w:val="0"/>
          <w:bCs/>
          <w:sz w:val="28"/>
          <w:szCs w:val="28"/>
          <w:lang w:eastAsia="zh-CN"/>
        </w:rPr>
      </w:pPr>
      <w:r>
        <w:rPr>
          <w:rFonts w:hint="eastAsia" w:ascii="仿宋" w:hAnsi="仿宋" w:eastAsia="仿宋"/>
          <w:b w:val="0"/>
          <w:bCs/>
          <w:sz w:val="28"/>
          <w:szCs w:val="28"/>
          <w:lang w:eastAsia="zh-CN"/>
        </w:rPr>
        <w:t>责任担当：</w:t>
      </w:r>
      <w:r>
        <w:rPr>
          <w:rFonts w:hint="eastAsia" w:ascii="仿宋" w:hAnsi="仿宋" w:eastAsia="仿宋"/>
          <w:b w:val="0"/>
          <w:bCs/>
          <w:sz w:val="28"/>
          <w:szCs w:val="28"/>
          <w:lang w:val="en-US" w:eastAsia="zh-CN"/>
        </w:rPr>
        <w:t>通过学跳民族舞蹈，将中华文化传播出去，让更多的人了解中华的艺术瑰宝。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仿宋" w:hAnsi="仿宋" w:eastAsia="仿宋"/>
          <w:b w:val="0"/>
          <w:bCs/>
          <w:sz w:val="28"/>
          <w:szCs w:val="28"/>
          <w:lang w:eastAsia="zh-CN"/>
        </w:rPr>
      </w:pPr>
      <w:r>
        <w:rPr>
          <w:rFonts w:hint="eastAsia" w:ascii="仿宋" w:hAnsi="仿宋" w:eastAsia="仿宋"/>
          <w:b w:val="0"/>
          <w:bCs/>
          <w:sz w:val="28"/>
          <w:szCs w:val="28"/>
          <w:lang w:eastAsia="zh-CN"/>
        </w:rPr>
        <w:t>问题解决：</w:t>
      </w:r>
      <w:r>
        <w:rPr>
          <w:rFonts w:hint="eastAsia" w:ascii="仿宋" w:hAnsi="仿宋" w:eastAsia="仿宋"/>
          <w:b w:val="0"/>
          <w:bCs/>
          <w:sz w:val="28"/>
          <w:szCs w:val="28"/>
          <w:lang w:val="en-US" w:eastAsia="zh-CN"/>
        </w:rPr>
        <w:t>巴山舞是从哪里来的？巴山舞表达了土家人怎样的感情？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仿宋" w:hAnsi="仿宋" w:eastAsia="仿宋"/>
          <w:b w:val="0"/>
          <w:bCs/>
          <w:sz w:val="28"/>
          <w:szCs w:val="28"/>
          <w:lang w:eastAsia="zh-CN"/>
        </w:rPr>
      </w:pPr>
      <w:r>
        <w:rPr>
          <w:rFonts w:hint="eastAsia" w:ascii="仿宋" w:hAnsi="仿宋" w:eastAsia="仿宋"/>
          <w:b w:val="0"/>
          <w:bCs/>
          <w:sz w:val="28"/>
          <w:szCs w:val="28"/>
          <w:lang w:eastAsia="zh-CN"/>
        </w:rPr>
        <w:t>创意物化：</w:t>
      </w:r>
      <w:r>
        <w:rPr>
          <w:rFonts w:hint="eastAsia" w:ascii="仿宋" w:hAnsi="仿宋" w:eastAsia="仿宋"/>
          <w:b w:val="0"/>
          <w:bCs/>
          <w:sz w:val="28"/>
          <w:szCs w:val="28"/>
          <w:lang w:val="en-US" w:eastAsia="zh-CN"/>
        </w:rPr>
        <w:t>学跳巴山舞。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四、课程时长：</w:t>
      </w:r>
      <w:r>
        <w:rPr>
          <w:rFonts w:hint="eastAsia" w:ascii="仿宋" w:hAnsi="仿宋" w:eastAsia="仿宋"/>
          <w:b w:val="0"/>
          <w:bCs/>
          <w:sz w:val="28"/>
          <w:szCs w:val="28"/>
        </w:rPr>
        <w:t>1</w:t>
      </w:r>
      <w:r>
        <w:rPr>
          <w:rFonts w:hint="eastAsia" w:ascii="仿宋" w:hAnsi="仿宋" w:eastAsia="仿宋"/>
          <w:b w:val="0"/>
          <w:bCs/>
          <w:sz w:val="28"/>
          <w:szCs w:val="28"/>
          <w:lang w:val="en-US" w:eastAsia="zh-CN"/>
        </w:rPr>
        <w:t>3</w:t>
      </w:r>
      <w:r>
        <w:rPr>
          <w:rFonts w:hint="eastAsia" w:ascii="仿宋" w:hAnsi="仿宋" w:eastAsia="仿宋"/>
          <w:b w:val="0"/>
          <w:bCs/>
          <w:sz w:val="28"/>
          <w:szCs w:val="28"/>
        </w:rPr>
        <w:t>0分钟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/>
          <w:b w:val="0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/>
          <w:sz w:val="28"/>
          <w:szCs w:val="28"/>
        </w:rPr>
        <w:t>五、适合学段：</w:t>
      </w:r>
      <w:r>
        <w:rPr>
          <w:rFonts w:hint="eastAsia" w:ascii="仿宋" w:hAnsi="仿宋" w:eastAsia="仿宋"/>
          <w:b w:val="0"/>
          <w:bCs/>
          <w:sz w:val="28"/>
          <w:szCs w:val="28"/>
          <w:lang w:val="en-US" w:eastAsia="zh-CN"/>
        </w:rPr>
        <w:t>高中段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/>
          <w:b w:val="0"/>
          <w:bCs/>
          <w:sz w:val="28"/>
          <w:szCs w:val="28"/>
          <w:lang w:val="en-US" w:eastAsia="zh-CN"/>
        </w:rPr>
      </w:pPr>
      <w:bookmarkStart w:id="0" w:name="_GoBack"/>
      <w:r>
        <w:rPr>
          <w:rFonts w:hint="default" w:ascii="仿宋" w:hAnsi="仿宋" w:eastAsia="仿宋"/>
          <w:b w:val="0"/>
          <w:bCs/>
          <w:sz w:val="28"/>
          <w:szCs w:val="28"/>
          <w:lang w:val="en-US" w:eastAsia="zh-CN"/>
        </w:rPr>
        <w:drawing>
          <wp:inline distT="0" distB="0" distL="114300" distR="114300">
            <wp:extent cx="5255895" cy="3451225"/>
            <wp:effectExtent l="0" t="0" r="1905" b="15875"/>
            <wp:docPr id="3" name="图片 3" descr="微信图片_20200920104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00920104339"/>
                    <pic:cNvPicPr>
                      <a:picLocks noChangeAspect="1"/>
                    </pic:cNvPicPr>
                  </pic:nvPicPr>
                  <pic:blipFill>
                    <a:blip r:embed="rId5"/>
                    <a:srcRect t="12126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/>
          <w:sz w:val="28"/>
          <w:szCs w:val="28"/>
        </w:rPr>
        <w:t>六、研学地点：</w:t>
      </w:r>
      <w:r>
        <w:rPr>
          <w:rFonts w:hint="eastAsia" w:ascii="仿宋" w:hAnsi="仿宋" w:eastAsia="仿宋"/>
          <w:b w:val="0"/>
          <w:bCs/>
          <w:sz w:val="28"/>
          <w:szCs w:val="28"/>
          <w:lang w:val="en-US" w:eastAsia="zh-CN"/>
        </w:rPr>
        <w:t>巴王寨三棵树广场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/>
          <w:b w:val="0"/>
          <w:bCs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七、配备师资：</w:t>
      </w:r>
      <w:r>
        <w:rPr>
          <w:rFonts w:hint="eastAsia" w:ascii="仿宋" w:hAnsi="仿宋" w:eastAsia="仿宋"/>
          <w:b w:val="0"/>
          <w:bCs/>
          <w:sz w:val="28"/>
          <w:szCs w:val="28"/>
        </w:rPr>
        <w:t>每班配置1-2名研学导师、1名安全员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/>
          <w:b w:val="0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/>
          <w:sz w:val="28"/>
          <w:szCs w:val="28"/>
          <w:lang w:val="en-US" w:eastAsia="zh-CN"/>
        </w:rPr>
        <w:t>八、接待规模：</w:t>
      </w:r>
      <w:r>
        <w:rPr>
          <w:rFonts w:hint="eastAsia" w:ascii="仿宋" w:hAnsi="仿宋" w:eastAsia="仿宋"/>
          <w:b w:val="0"/>
          <w:bCs/>
          <w:sz w:val="28"/>
          <w:szCs w:val="28"/>
          <w:lang w:val="en-US" w:eastAsia="zh-CN"/>
        </w:rPr>
        <w:t>400人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/>
          <w:sz w:val="28"/>
          <w:szCs w:val="28"/>
          <w:lang w:val="en-US" w:eastAsia="zh-CN"/>
        </w:rPr>
        <w:t>九</w:t>
      </w:r>
      <w:r>
        <w:rPr>
          <w:rFonts w:hint="eastAsia" w:ascii="仿宋" w:hAnsi="仿宋" w:eastAsia="仿宋"/>
          <w:b/>
          <w:sz w:val="28"/>
          <w:szCs w:val="28"/>
        </w:rPr>
        <w:t>、研学用具：</w:t>
      </w:r>
      <w:r>
        <w:rPr>
          <w:rFonts w:hint="eastAsia" w:ascii="仿宋" w:hAnsi="仿宋" w:eastAsia="仿宋"/>
          <w:b w:val="0"/>
          <w:bCs/>
          <w:sz w:val="28"/>
          <w:szCs w:val="28"/>
          <w:lang w:val="en-US" w:eastAsia="zh-CN"/>
        </w:rPr>
        <w:t>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  <w:lang w:val="en-US" w:eastAsia="zh-CN"/>
        </w:rPr>
        <w:t>十</w:t>
      </w:r>
      <w:r>
        <w:rPr>
          <w:rFonts w:hint="eastAsia" w:ascii="仿宋" w:hAnsi="仿宋" w:eastAsia="仿宋"/>
          <w:b/>
          <w:sz w:val="28"/>
          <w:szCs w:val="28"/>
        </w:rPr>
        <w:t>、研学流程：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仿宋" w:hAnsi="仿宋" w:eastAsia="仿宋"/>
          <w:b w:val="0"/>
          <w:bCs w:val="0"/>
          <w:sz w:val="28"/>
          <w:szCs w:val="28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1、</w:t>
      </w:r>
      <w:r>
        <w:rPr>
          <w:rFonts w:hint="eastAsia" w:ascii="仿宋" w:hAnsi="仿宋" w:eastAsia="仿宋"/>
          <w:b w:val="0"/>
          <w:bCs w:val="0"/>
          <w:sz w:val="28"/>
          <w:szCs w:val="28"/>
        </w:rPr>
        <w:t>课程知识点导入：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20分钟</w:t>
      </w:r>
      <w:r>
        <w:rPr>
          <w:rFonts w:hint="eastAsia" w:ascii="仿宋" w:hAnsi="仿宋" w:eastAsia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巴人和其后裔土家人，不惧牺牲，看淡生死，无论是艰苦的生存，还是残酷的战斗，他们都能在休息的间隙载歌载舞</w:t>
      </w:r>
      <w:r>
        <w:rPr>
          <w:rFonts w:hint="eastAsia" w:ascii="仿宋" w:hAnsi="仿宋" w:eastAsia="仿宋"/>
          <w:sz w:val="28"/>
          <w:szCs w:val="28"/>
          <w:lang w:eastAsia="zh-CN"/>
        </w:rPr>
        <w:t>。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如今的土家人在族人的丧葬仪式上，还会载歌载舞，从音乐、舞蹈到歌词内容，少有悲沉之感，音乐高吭欢快，舞步健美勇武。国内的舞蹈艺术家们将这种舞蹈改良，不局限于丧葬风俗，创作了一种可供全民跳的舞蹈，取名“巴山舞”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560" w:firstLineChars="200"/>
        <w:textAlignment w:val="auto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“巴山舞”取自民间，将</w:t>
      </w:r>
      <w:r>
        <w:rPr>
          <w:rFonts w:hint="default" w:ascii="仿宋" w:hAnsi="仿宋" w:eastAsia="仿宋"/>
          <w:sz w:val="28"/>
          <w:szCs w:val="28"/>
          <w:lang w:val="en-US" w:eastAsia="zh-CN"/>
        </w:rPr>
        <w:t>当地人们所熟悉的与舞蹈情绪相吻合的山歌、民歌为基调，适当加以发展，并加进了弦乐伴奏，舞蹈音乐仍具有浓郁的民族特色和地方色彩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。“巴山舞”又回到民间，现在成为拥有广大群众基础的民间舞蹈。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560" w:firstLineChars="200"/>
        <w:textAlignment w:val="auto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default" w:ascii="仿宋" w:hAnsi="仿宋" w:eastAsia="仿宋"/>
          <w:sz w:val="28"/>
          <w:szCs w:val="28"/>
          <w:lang w:val="en-US" w:eastAsia="zh-CN"/>
        </w:rPr>
        <w:t>《人民日报》海外版撰文指出：“当众多的进口娱乐性舞蹈风靡一时之际，重山叠峰中的巴山舞却占据了那么多朴实的心灵，这种文化景观，带给人们许多思考，至少，它开拓、展示了一片独特的审美领域。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560" w:firstLineChars="200"/>
        <w:textAlignment w:val="auto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“巴山舞”是十大广场健身舞之一，多次在全国舞蹈比赛中获得金奖。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仿宋" w:hAnsi="仿宋" w:eastAsia="仿宋"/>
          <w:b w:val="0"/>
          <w:bCs w:val="0"/>
          <w:sz w:val="28"/>
          <w:szCs w:val="28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2、</w:t>
      </w:r>
      <w:r>
        <w:rPr>
          <w:rFonts w:hint="eastAsia" w:ascii="仿宋" w:hAnsi="仿宋" w:eastAsia="仿宋"/>
          <w:b w:val="0"/>
          <w:bCs w:val="0"/>
          <w:sz w:val="28"/>
          <w:szCs w:val="28"/>
        </w:rPr>
        <w:t>研学任务实践探究：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仿宋" w:hAnsi="仿宋" w:eastAsia="仿宋"/>
          <w:b w:val="0"/>
          <w:bCs w:val="0"/>
          <w:sz w:val="28"/>
          <w:szCs w:val="28"/>
          <w:lang w:eastAsia="zh-CN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  <w:lang w:eastAsia="zh-CN"/>
        </w:rPr>
        <w:drawing>
          <wp:inline distT="0" distB="0" distL="114300" distR="114300">
            <wp:extent cx="5266055" cy="3148330"/>
            <wp:effectExtent l="0" t="0" r="10795" b="13970"/>
            <wp:docPr id="2" name="图片 2" descr="微信图片_20200920104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00920104411"/>
                    <pic:cNvPicPr>
                      <a:picLocks noChangeAspect="1"/>
                    </pic:cNvPicPr>
                  </pic:nvPicPr>
                  <pic:blipFill>
                    <a:blip r:embed="rId6"/>
                    <a:srcRect b="103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（50分钟）观看巴王寨民俗表演。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（15分钟）学生们休息和上洗手间。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3、</w:t>
      </w:r>
      <w:r>
        <w:rPr>
          <w:rFonts w:hint="eastAsia" w:ascii="仿宋" w:hAnsi="仿宋" w:eastAsia="仿宋"/>
          <w:sz w:val="28"/>
          <w:szCs w:val="28"/>
        </w:rPr>
        <w:t>研学成果展示：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（35分钟）学生们按班级列队，由舞蹈艺人领舞，学生们学跳巴山舞。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4、</w:t>
      </w:r>
      <w:r>
        <w:rPr>
          <w:rFonts w:hint="eastAsia" w:ascii="仿宋" w:hAnsi="仿宋" w:eastAsia="仿宋"/>
          <w:sz w:val="28"/>
          <w:szCs w:val="28"/>
        </w:rPr>
        <w:t>研学效果评价：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（10分钟）听课是否认真，参与活动是否积极，舞蹈是否精神饱满</w:t>
      </w:r>
      <w:r>
        <w:rPr>
          <w:rFonts w:hint="eastAsia" w:ascii="仿宋" w:hAnsi="仿宋" w:eastAsia="仿宋"/>
          <w:sz w:val="28"/>
          <w:szCs w:val="28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  <w:lang w:val="en-US" w:eastAsia="zh-CN"/>
        </w:rPr>
        <w:t>十一、</w:t>
      </w:r>
      <w:r>
        <w:rPr>
          <w:rFonts w:ascii="仿宋" w:hAnsi="仿宋" w:eastAsia="仿宋"/>
          <w:b/>
          <w:sz w:val="28"/>
          <w:szCs w:val="28"/>
        </w:rPr>
        <w:t>研学评价</w:t>
      </w:r>
      <w:r>
        <w:rPr>
          <w:rFonts w:hint="eastAsia" w:ascii="仿宋" w:hAnsi="仿宋" w:eastAsia="仿宋"/>
          <w:b/>
          <w:sz w:val="28"/>
          <w:szCs w:val="28"/>
        </w:rPr>
        <w:t>：</w:t>
      </w:r>
    </w:p>
    <w:p>
      <w:pPr>
        <w:widowControl w:val="0"/>
        <w:numPr>
          <w:ilvl w:val="1"/>
          <w:numId w:val="3"/>
        </w:numPr>
        <w:spacing w:after="0" w:line="360" w:lineRule="auto"/>
        <w:ind w:firstLine="560" w:firstLineChars="200"/>
        <w:rPr>
          <w:rFonts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学生评价</w:t>
      </w:r>
    </w:p>
    <w:p>
      <w:pPr>
        <w:widowControl w:val="0"/>
        <w:spacing w:after="0" w:line="360" w:lineRule="auto"/>
        <w:ind w:firstLine="422" w:firstLineChars="200"/>
        <w:jc w:val="center"/>
        <w:rPr>
          <w:rFonts w:ascii="仿宋" w:hAnsi="仿宋" w:eastAsia="仿宋" w:cs="宋体"/>
          <w:b/>
          <w:bCs/>
          <w:color w:val="000000"/>
          <w:szCs w:val="21"/>
        </w:rPr>
      </w:pPr>
      <w:r>
        <w:rPr>
          <w:rFonts w:hint="eastAsia" w:ascii="仿宋" w:hAnsi="仿宋" w:eastAsia="仿宋" w:cs="宋体"/>
          <w:b/>
          <w:bCs/>
          <w:color w:val="000000"/>
          <w:szCs w:val="21"/>
        </w:rPr>
        <w:t>三峡人家研学基地研学课程教学评价表</w:t>
      </w:r>
    </w:p>
    <w:tbl>
      <w:tblPr>
        <w:tblStyle w:val="2"/>
        <w:tblW w:w="867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2363"/>
        <w:gridCol w:w="2385"/>
        <w:gridCol w:w="667"/>
        <w:gridCol w:w="663"/>
        <w:gridCol w:w="663"/>
        <w:gridCol w:w="6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5" w:hRule="atLeast"/>
        </w:trPr>
        <w:tc>
          <w:tcPr>
            <w:tcW w:w="5998" w:type="dxa"/>
            <w:gridSpan w:val="3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宋体"/>
                <w:b/>
                <w:bCs/>
                <w:color w:val="000000"/>
                <w:szCs w:val="21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szCs w:val="21"/>
              </w:rPr>
              <w:t>学校：</w:t>
            </w:r>
          </w:p>
        </w:tc>
        <w:tc>
          <w:tcPr>
            <w:tcW w:w="2673" w:type="dxa"/>
            <w:gridSpan w:val="4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宋体"/>
                <w:b/>
                <w:bCs/>
                <w:color w:val="000000"/>
                <w:szCs w:val="21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szCs w:val="21"/>
              </w:rPr>
              <w:t>学生姓名：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3613" w:type="dxa"/>
            <w:gridSpan w:val="2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宋体"/>
                <w:b/>
                <w:bCs/>
                <w:color w:val="000000"/>
                <w:szCs w:val="21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szCs w:val="21"/>
              </w:rPr>
              <w:t>研学课程名称：</w:t>
            </w:r>
          </w:p>
        </w:tc>
        <w:tc>
          <w:tcPr>
            <w:tcW w:w="2385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宋体"/>
                <w:b/>
                <w:bCs/>
                <w:color w:val="000000"/>
                <w:szCs w:val="21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szCs w:val="21"/>
              </w:rPr>
              <w:t>研学时间：</w:t>
            </w:r>
          </w:p>
        </w:tc>
        <w:tc>
          <w:tcPr>
            <w:tcW w:w="2673" w:type="dxa"/>
            <w:gridSpan w:val="4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宋体"/>
                <w:b/>
                <w:bCs/>
                <w:color w:val="000000"/>
                <w:szCs w:val="21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szCs w:val="21"/>
              </w:rPr>
              <w:t>导师姓名：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0" w:type="dxa"/>
            <w:vAlign w:val="center"/>
          </w:tcPr>
          <w:p>
            <w:pPr>
              <w:widowControl w:val="0"/>
              <w:spacing w:after="0"/>
              <w:jc w:val="center"/>
              <w:rPr>
                <w:rFonts w:ascii="仿宋" w:hAnsi="仿宋" w:eastAsia="仿宋" w:cs="宋体"/>
                <w:color w:val="00000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szCs w:val="21"/>
              </w:rPr>
              <w:t>指标</w:t>
            </w:r>
          </w:p>
        </w:tc>
        <w:tc>
          <w:tcPr>
            <w:tcW w:w="4748" w:type="dxa"/>
            <w:gridSpan w:val="2"/>
            <w:vAlign w:val="center"/>
          </w:tcPr>
          <w:p>
            <w:pPr>
              <w:widowControl w:val="0"/>
              <w:spacing w:after="0"/>
              <w:jc w:val="center"/>
              <w:rPr>
                <w:rFonts w:ascii="仿宋" w:hAnsi="仿宋" w:eastAsia="仿宋" w:cs="宋体"/>
                <w:color w:val="00000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szCs w:val="21"/>
              </w:rPr>
              <w:t>评分标准</w:t>
            </w:r>
          </w:p>
        </w:tc>
        <w:tc>
          <w:tcPr>
            <w:tcW w:w="667" w:type="dxa"/>
            <w:vAlign w:val="center"/>
          </w:tcPr>
          <w:p>
            <w:pPr>
              <w:widowControl w:val="0"/>
              <w:spacing w:after="0"/>
              <w:jc w:val="center"/>
              <w:rPr>
                <w:rFonts w:ascii="仿宋" w:hAnsi="仿宋" w:eastAsia="仿宋" w:cs="宋体"/>
                <w:color w:val="00000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szCs w:val="21"/>
              </w:rPr>
              <w:t>自评</w:t>
            </w:r>
          </w:p>
        </w:tc>
        <w:tc>
          <w:tcPr>
            <w:tcW w:w="663" w:type="dxa"/>
            <w:vAlign w:val="center"/>
          </w:tcPr>
          <w:p>
            <w:pPr>
              <w:widowControl w:val="0"/>
              <w:spacing w:after="0"/>
              <w:jc w:val="center"/>
              <w:rPr>
                <w:rFonts w:ascii="仿宋" w:hAnsi="仿宋" w:eastAsia="仿宋" w:cs="宋体"/>
                <w:color w:val="00000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szCs w:val="21"/>
              </w:rPr>
              <w:t>互评</w:t>
            </w:r>
          </w:p>
        </w:tc>
        <w:tc>
          <w:tcPr>
            <w:tcW w:w="663" w:type="dxa"/>
            <w:vAlign w:val="center"/>
          </w:tcPr>
          <w:p>
            <w:pPr>
              <w:widowControl w:val="0"/>
              <w:spacing w:after="0"/>
              <w:jc w:val="center"/>
              <w:rPr>
                <w:rFonts w:ascii="仿宋" w:hAnsi="仿宋" w:eastAsia="仿宋" w:cs="宋体"/>
                <w:color w:val="00000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szCs w:val="21"/>
              </w:rPr>
              <w:t>师评</w:t>
            </w:r>
          </w:p>
        </w:tc>
        <w:tc>
          <w:tcPr>
            <w:tcW w:w="680" w:type="dxa"/>
            <w:vAlign w:val="center"/>
          </w:tcPr>
          <w:p>
            <w:pPr>
              <w:widowControl w:val="0"/>
              <w:spacing w:after="0"/>
              <w:jc w:val="center"/>
              <w:rPr>
                <w:rFonts w:ascii="仿宋" w:hAnsi="仿宋" w:eastAsia="仿宋" w:cs="宋体"/>
                <w:color w:val="00000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szCs w:val="21"/>
              </w:rPr>
              <w:t>综合等级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0" w:type="dxa"/>
            <w:vMerge w:val="restart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宋体"/>
                <w:color w:val="00000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szCs w:val="21"/>
              </w:rPr>
              <w:t>课堂表现</w:t>
            </w:r>
          </w:p>
        </w:tc>
        <w:tc>
          <w:tcPr>
            <w:tcW w:w="4748" w:type="dxa"/>
            <w:gridSpan w:val="2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宋体"/>
                <w:color w:val="00000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szCs w:val="21"/>
              </w:rPr>
              <w:t>积极认领任务，积极思考、主动发言，勇于实践、敢于创新，发挥特长、团结合作。</w:t>
            </w:r>
          </w:p>
        </w:tc>
        <w:tc>
          <w:tcPr>
            <w:tcW w:w="667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宋体"/>
                <w:color w:val="000000"/>
                <w:szCs w:val="21"/>
              </w:rPr>
            </w:pPr>
          </w:p>
        </w:tc>
        <w:tc>
          <w:tcPr>
            <w:tcW w:w="663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宋体"/>
                <w:color w:val="000000"/>
                <w:szCs w:val="21"/>
              </w:rPr>
            </w:pPr>
          </w:p>
        </w:tc>
        <w:tc>
          <w:tcPr>
            <w:tcW w:w="663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宋体"/>
                <w:color w:val="000000"/>
                <w:szCs w:val="21"/>
              </w:rPr>
            </w:pPr>
          </w:p>
        </w:tc>
        <w:tc>
          <w:tcPr>
            <w:tcW w:w="680" w:type="dxa"/>
            <w:vMerge w:val="restart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0" w:type="dxa"/>
            <w:vMerge w:val="continue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宋体"/>
                <w:color w:val="000000"/>
                <w:szCs w:val="21"/>
              </w:rPr>
            </w:pPr>
          </w:p>
        </w:tc>
        <w:tc>
          <w:tcPr>
            <w:tcW w:w="4748" w:type="dxa"/>
            <w:gridSpan w:val="2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宋体"/>
                <w:color w:val="00000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szCs w:val="21"/>
              </w:rPr>
              <w:t>主动关心和帮助同学，团队意识强，合作项目积极献言献策，并协助大家一起完成任务。</w:t>
            </w:r>
          </w:p>
        </w:tc>
        <w:tc>
          <w:tcPr>
            <w:tcW w:w="667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宋体"/>
                <w:color w:val="000000"/>
                <w:szCs w:val="21"/>
              </w:rPr>
            </w:pPr>
          </w:p>
        </w:tc>
        <w:tc>
          <w:tcPr>
            <w:tcW w:w="663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宋体"/>
                <w:color w:val="000000"/>
                <w:szCs w:val="21"/>
              </w:rPr>
            </w:pPr>
          </w:p>
        </w:tc>
        <w:tc>
          <w:tcPr>
            <w:tcW w:w="663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宋体"/>
                <w:color w:val="000000"/>
                <w:szCs w:val="21"/>
              </w:rPr>
            </w:pPr>
          </w:p>
        </w:tc>
        <w:tc>
          <w:tcPr>
            <w:tcW w:w="680" w:type="dxa"/>
            <w:vMerge w:val="continue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0" w:type="dxa"/>
            <w:vMerge w:val="continue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宋体"/>
                <w:color w:val="000000"/>
                <w:szCs w:val="21"/>
              </w:rPr>
            </w:pPr>
          </w:p>
        </w:tc>
        <w:tc>
          <w:tcPr>
            <w:tcW w:w="4748" w:type="dxa"/>
            <w:gridSpan w:val="2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宋体"/>
                <w:color w:val="00000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szCs w:val="21"/>
              </w:rPr>
              <w:t>遵守课堂纪律，自觉服从研学导师的管理，听从指挥，维护大局、能协助老师管理</w:t>
            </w:r>
          </w:p>
        </w:tc>
        <w:tc>
          <w:tcPr>
            <w:tcW w:w="667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宋体"/>
                <w:color w:val="000000"/>
                <w:szCs w:val="21"/>
              </w:rPr>
            </w:pPr>
          </w:p>
        </w:tc>
        <w:tc>
          <w:tcPr>
            <w:tcW w:w="663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宋体"/>
                <w:color w:val="000000"/>
                <w:szCs w:val="21"/>
              </w:rPr>
            </w:pPr>
          </w:p>
        </w:tc>
        <w:tc>
          <w:tcPr>
            <w:tcW w:w="663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宋体"/>
                <w:color w:val="000000"/>
                <w:szCs w:val="21"/>
              </w:rPr>
            </w:pPr>
          </w:p>
        </w:tc>
        <w:tc>
          <w:tcPr>
            <w:tcW w:w="680" w:type="dxa"/>
            <w:vMerge w:val="continue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0" w:type="dxa"/>
            <w:vMerge w:val="continue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宋体"/>
                <w:color w:val="000000"/>
                <w:szCs w:val="21"/>
              </w:rPr>
            </w:pPr>
          </w:p>
        </w:tc>
        <w:tc>
          <w:tcPr>
            <w:tcW w:w="4748" w:type="dxa"/>
            <w:gridSpan w:val="2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宋体"/>
                <w:color w:val="00000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szCs w:val="21"/>
              </w:rPr>
              <w:t>态度认真，准备充分，积极参与课堂活动，主动完成研学任务，有成果收获。</w:t>
            </w:r>
          </w:p>
        </w:tc>
        <w:tc>
          <w:tcPr>
            <w:tcW w:w="667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宋体"/>
                <w:color w:val="000000"/>
                <w:szCs w:val="21"/>
              </w:rPr>
            </w:pPr>
          </w:p>
        </w:tc>
        <w:tc>
          <w:tcPr>
            <w:tcW w:w="663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宋体"/>
                <w:color w:val="000000"/>
                <w:szCs w:val="21"/>
              </w:rPr>
            </w:pPr>
          </w:p>
        </w:tc>
        <w:tc>
          <w:tcPr>
            <w:tcW w:w="663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宋体"/>
                <w:color w:val="000000"/>
                <w:szCs w:val="21"/>
              </w:rPr>
            </w:pPr>
          </w:p>
        </w:tc>
        <w:tc>
          <w:tcPr>
            <w:tcW w:w="680" w:type="dxa"/>
            <w:vMerge w:val="continue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0" w:type="dxa"/>
            <w:vMerge w:val="restart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宋体"/>
                <w:color w:val="00000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szCs w:val="21"/>
              </w:rPr>
              <w:t>文明礼仪</w:t>
            </w:r>
          </w:p>
        </w:tc>
        <w:tc>
          <w:tcPr>
            <w:tcW w:w="4748" w:type="dxa"/>
            <w:gridSpan w:val="2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宋体"/>
                <w:color w:val="00000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szCs w:val="21"/>
              </w:rPr>
              <w:t>乘车礼仪：有序上下车、不疯赶打闹、不窜座位、不乱扔废弃物，主动参与活动</w:t>
            </w:r>
          </w:p>
        </w:tc>
        <w:tc>
          <w:tcPr>
            <w:tcW w:w="667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宋体"/>
                <w:color w:val="000000"/>
                <w:szCs w:val="21"/>
              </w:rPr>
            </w:pPr>
          </w:p>
        </w:tc>
        <w:tc>
          <w:tcPr>
            <w:tcW w:w="663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宋体"/>
                <w:color w:val="000000"/>
                <w:szCs w:val="21"/>
              </w:rPr>
            </w:pPr>
          </w:p>
        </w:tc>
        <w:tc>
          <w:tcPr>
            <w:tcW w:w="663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宋体"/>
                <w:color w:val="000000"/>
                <w:szCs w:val="21"/>
              </w:rPr>
            </w:pPr>
          </w:p>
        </w:tc>
        <w:tc>
          <w:tcPr>
            <w:tcW w:w="680" w:type="dxa"/>
            <w:vMerge w:val="continue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0" w:type="dxa"/>
            <w:vMerge w:val="continue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宋体"/>
                <w:color w:val="000000"/>
                <w:szCs w:val="21"/>
              </w:rPr>
            </w:pPr>
          </w:p>
        </w:tc>
        <w:tc>
          <w:tcPr>
            <w:tcW w:w="4748" w:type="dxa"/>
            <w:gridSpan w:val="2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宋体"/>
                <w:color w:val="00000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szCs w:val="21"/>
              </w:rPr>
              <w:t>公共礼仪：公共场所能注重个人礼仪规范，文明用语，不大声喧哗，爱护卫生，保护环境，</w:t>
            </w:r>
          </w:p>
        </w:tc>
        <w:tc>
          <w:tcPr>
            <w:tcW w:w="667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宋体"/>
                <w:color w:val="000000"/>
                <w:szCs w:val="21"/>
              </w:rPr>
            </w:pPr>
          </w:p>
        </w:tc>
        <w:tc>
          <w:tcPr>
            <w:tcW w:w="663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宋体"/>
                <w:color w:val="000000"/>
                <w:szCs w:val="21"/>
              </w:rPr>
            </w:pPr>
          </w:p>
        </w:tc>
        <w:tc>
          <w:tcPr>
            <w:tcW w:w="663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宋体"/>
                <w:color w:val="000000"/>
                <w:szCs w:val="21"/>
              </w:rPr>
            </w:pPr>
          </w:p>
        </w:tc>
        <w:tc>
          <w:tcPr>
            <w:tcW w:w="680" w:type="dxa"/>
            <w:vMerge w:val="continue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0" w:type="dxa"/>
            <w:vMerge w:val="continue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宋体"/>
                <w:color w:val="000000"/>
                <w:szCs w:val="21"/>
              </w:rPr>
            </w:pPr>
          </w:p>
        </w:tc>
        <w:tc>
          <w:tcPr>
            <w:tcW w:w="4748" w:type="dxa"/>
            <w:gridSpan w:val="2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宋体"/>
                <w:color w:val="00000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szCs w:val="21"/>
              </w:rPr>
              <w:t>学生礼仪：严于律己，乐于助人，能够始终保持良好的学生形象。</w:t>
            </w:r>
          </w:p>
        </w:tc>
        <w:tc>
          <w:tcPr>
            <w:tcW w:w="667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宋体"/>
                <w:color w:val="000000"/>
                <w:szCs w:val="21"/>
              </w:rPr>
            </w:pPr>
          </w:p>
        </w:tc>
        <w:tc>
          <w:tcPr>
            <w:tcW w:w="663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宋体"/>
                <w:color w:val="000000"/>
                <w:szCs w:val="21"/>
              </w:rPr>
            </w:pPr>
          </w:p>
        </w:tc>
        <w:tc>
          <w:tcPr>
            <w:tcW w:w="663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宋体"/>
                <w:color w:val="000000"/>
                <w:szCs w:val="21"/>
              </w:rPr>
            </w:pPr>
          </w:p>
        </w:tc>
        <w:tc>
          <w:tcPr>
            <w:tcW w:w="680" w:type="dxa"/>
            <w:vMerge w:val="continue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0" w:type="dxa"/>
            <w:vMerge w:val="continue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宋体"/>
                <w:color w:val="000000"/>
                <w:szCs w:val="21"/>
              </w:rPr>
            </w:pPr>
          </w:p>
        </w:tc>
        <w:tc>
          <w:tcPr>
            <w:tcW w:w="4748" w:type="dxa"/>
            <w:gridSpan w:val="2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宋体"/>
                <w:color w:val="00000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szCs w:val="21"/>
              </w:rPr>
              <w:t>就餐礼仪：依次就坐、不敲打碗筷、不挑不抢、吃饭不语、光盘行动</w:t>
            </w:r>
          </w:p>
        </w:tc>
        <w:tc>
          <w:tcPr>
            <w:tcW w:w="667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宋体"/>
                <w:color w:val="000000"/>
                <w:szCs w:val="21"/>
              </w:rPr>
            </w:pPr>
          </w:p>
        </w:tc>
        <w:tc>
          <w:tcPr>
            <w:tcW w:w="663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宋体"/>
                <w:color w:val="000000"/>
                <w:szCs w:val="21"/>
              </w:rPr>
            </w:pPr>
          </w:p>
        </w:tc>
        <w:tc>
          <w:tcPr>
            <w:tcW w:w="663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宋体"/>
                <w:color w:val="000000"/>
                <w:szCs w:val="21"/>
              </w:rPr>
            </w:pPr>
          </w:p>
        </w:tc>
        <w:tc>
          <w:tcPr>
            <w:tcW w:w="680" w:type="dxa"/>
            <w:vMerge w:val="continue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0" w:type="dxa"/>
            <w:vMerge w:val="restart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宋体"/>
                <w:color w:val="00000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szCs w:val="21"/>
              </w:rPr>
              <w:t>安全意识</w:t>
            </w:r>
          </w:p>
        </w:tc>
        <w:tc>
          <w:tcPr>
            <w:tcW w:w="4748" w:type="dxa"/>
            <w:gridSpan w:val="2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宋体"/>
                <w:color w:val="00000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szCs w:val="21"/>
              </w:rPr>
              <w:t>乘车安全：系好安全带、不随意脱离座位、不将头手伸出车外、熟悉安全设施设备</w:t>
            </w:r>
          </w:p>
        </w:tc>
        <w:tc>
          <w:tcPr>
            <w:tcW w:w="667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宋体"/>
                <w:color w:val="000000"/>
                <w:szCs w:val="21"/>
              </w:rPr>
            </w:pPr>
          </w:p>
        </w:tc>
        <w:tc>
          <w:tcPr>
            <w:tcW w:w="663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宋体"/>
                <w:color w:val="000000"/>
                <w:szCs w:val="21"/>
              </w:rPr>
            </w:pPr>
          </w:p>
        </w:tc>
        <w:tc>
          <w:tcPr>
            <w:tcW w:w="663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宋体"/>
                <w:color w:val="000000"/>
                <w:szCs w:val="21"/>
              </w:rPr>
            </w:pPr>
          </w:p>
        </w:tc>
        <w:tc>
          <w:tcPr>
            <w:tcW w:w="680" w:type="dxa"/>
            <w:vMerge w:val="continue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0" w:type="dxa"/>
            <w:vMerge w:val="continue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宋体"/>
                <w:color w:val="000000"/>
                <w:szCs w:val="21"/>
              </w:rPr>
            </w:pPr>
          </w:p>
        </w:tc>
        <w:tc>
          <w:tcPr>
            <w:tcW w:w="4748" w:type="dxa"/>
            <w:gridSpan w:val="2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宋体"/>
                <w:color w:val="00000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szCs w:val="21"/>
              </w:rPr>
              <w:t>课堂安全：有序参与各项研学实践活动，正确使用教学设备和设施，不伤及自己或他人</w:t>
            </w:r>
          </w:p>
        </w:tc>
        <w:tc>
          <w:tcPr>
            <w:tcW w:w="667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宋体"/>
                <w:color w:val="000000"/>
                <w:szCs w:val="21"/>
              </w:rPr>
            </w:pPr>
          </w:p>
        </w:tc>
        <w:tc>
          <w:tcPr>
            <w:tcW w:w="663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宋体"/>
                <w:color w:val="000000"/>
                <w:szCs w:val="21"/>
              </w:rPr>
            </w:pPr>
          </w:p>
        </w:tc>
        <w:tc>
          <w:tcPr>
            <w:tcW w:w="663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宋体"/>
                <w:color w:val="000000"/>
                <w:szCs w:val="21"/>
              </w:rPr>
            </w:pPr>
          </w:p>
        </w:tc>
        <w:tc>
          <w:tcPr>
            <w:tcW w:w="680" w:type="dxa"/>
            <w:vMerge w:val="continue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0" w:type="dxa"/>
            <w:vMerge w:val="continue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宋体"/>
                <w:color w:val="000000"/>
                <w:szCs w:val="21"/>
              </w:rPr>
            </w:pPr>
          </w:p>
        </w:tc>
        <w:tc>
          <w:tcPr>
            <w:tcW w:w="4748" w:type="dxa"/>
            <w:gridSpan w:val="2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宋体"/>
                <w:color w:val="00000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szCs w:val="21"/>
              </w:rPr>
              <w:t>就餐安全：依次排队就餐、注意防滑、防烫、防明火、禁止在非正规经营点购买食品</w:t>
            </w:r>
          </w:p>
        </w:tc>
        <w:tc>
          <w:tcPr>
            <w:tcW w:w="667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宋体"/>
                <w:color w:val="000000"/>
                <w:szCs w:val="21"/>
              </w:rPr>
            </w:pPr>
          </w:p>
        </w:tc>
        <w:tc>
          <w:tcPr>
            <w:tcW w:w="663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宋体"/>
                <w:color w:val="000000"/>
                <w:szCs w:val="21"/>
              </w:rPr>
            </w:pPr>
          </w:p>
        </w:tc>
        <w:tc>
          <w:tcPr>
            <w:tcW w:w="663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宋体"/>
                <w:color w:val="000000"/>
                <w:szCs w:val="21"/>
              </w:rPr>
            </w:pPr>
          </w:p>
        </w:tc>
        <w:tc>
          <w:tcPr>
            <w:tcW w:w="680" w:type="dxa"/>
            <w:vMerge w:val="continue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0" w:type="dxa"/>
            <w:vMerge w:val="continue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宋体"/>
                <w:color w:val="000000"/>
                <w:szCs w:val="21"/>
              </w:rPr>
            </w:pPr>
          </w:p>
        </w:tc>
        <w:tc>
          <w:tcPr>
            <w:tcW w:w="4748" w:type="dxa"/>
            <w:gridSpan w:val="2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宋体"/>
                <w:color w:val="00000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szCs w:val="21"/>
              </w:rPr>
              <w:t>景点安全：排队入园、文明游览、不脱离团队、听从导师安排、主动远离危险源、风险意识强、帮助同学提高安全意识</w:t>
            </w:r>
          </w:p>
        </w:tc>
        <w:tc>
          <w:tcPr>
            <w:tcW w:w="667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宋体"/>
                <w:color w:val="000000"/>
                <w:szCs w:val="21"/>
              </w:rPr>
            </w:pPr>
          </w:p>
        </w:tc>
        <w:tc>
          <w:tcPr>
            <w:tcW w:w="663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宋体"/>
                <w:color w:val="000000"/>
                <w:szCs w:val="21"/>
              </w:rPr>
            </w:pPr>
          </w:p>
        </w:tc>
        <w:tc>
          <w:tcPr>
            <w:tcW w:w="663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宋体"/>
                <w:color w:val="000000"/>
                <w:szCs w:val="21"/>
              </w:rPr>
            </w:pPr>
          </w:p>
        </w:tc>
        <w:tc>
          <w:tcPr>
            <w:tcW w:w="680" w:type="dxa"/>
            <w:vMerge w:val="continue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0" w:type="dxa"/>
            <w:vMerge w:val="restart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宋体"/>
                <w:color w:val="00000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szCs w:val="21"/>
              </w:rPr>
              <w:t>学习成果</w:t>
            </w:r>
          </w:p>
        </w:tc>
        <w:tc>
          <w:tcPr>
            <w:tcW w:w="4748" w:type="dxa"/>
            <w:gridSpan w:val="2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宋体"/>
                <w:color w:val="00000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szCs w:val="21"/>
              </w:rPr>
              <w:t>探究成果：认真完成研学课程布置的任务，认真收集学习资料和完成研学手册中拓展延伸的项目，能在研学中发现新问题。</w:t>
            </w:r>
          </w:p>
        </w:tc>
        <w:tc>
          <w:tcPr>
            <w:tcW w:w="667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宋体"/>
                <w:color w:val="000000"/>
                <w:szCs w:val="21"/>
              </w:rPr>
            </w:pPr>
          </w:p>
        </w:tc>
        <w:tc>
          <w:tcPr>
            <w:tcW w:w="663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宋体"/>
                <w:color w:val="000000"/>
                <w:szCs w:val="21"/>
              </w:rPr>
            </w:pPr>
          </w:p>
        </w:tc>
        <w:tc>
          <w:tcPr>
            <w:tcW w:w="663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宋体"/>
                <w:color w:val="000000"/>
                <w:szCs w:val="21"/>
              </w:rPr>
            </w:pPr>
          </w:p>
        </w:tc>
        <w:tc>
          <w:tcPr>
            <w:tcW w:w="680" w:type="dxa"/>
            <w:vMerge w:val="continue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0" w:type="dxa"/>
            <w:vMerge w:val="continue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宋体"/>
                <w:color w:val="000000"/>
                <w:szCs w:val="21"/>
              </w:rPr>
            </w:pPr>
          </w:p>
        </w:tc>
        <w:tc>
          <w:tcPr>
            <w:tcW w:w="4748" w:type="dxa"/>
            <w:gridSpan w:val="2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宋体"/>
                <w:color w:val="00000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szCs w:val="21"/>
              </w:rPr>
              <w:t>学习效果：参与小组活动分享，形成学习记录。分享新颖、有创意，小组讨论及分享语言表达清晰、流畅，有自己见解</w:t>
            </w:r>
          </w:p>
        </w:tc>
        <w:tc>
          <w:tcPr>
            <w:tcW w:w="667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宋体"/>
                <w:color w:val="000000"/>
                <w:szCs w:val="21"/>
              </w:rPr>
            </w:pPr>
          </w:p>
        </w:tc>
        <w:tc>
          <w:tcPr>
            <w:tcW w:w="663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宋体"/>
                <w:color w:val="000000"/>
                <w:szCs w:val="21"/>
              </w:rPr>
            </w:pPr>
          </w:p>
        </w:tc>
        <w:tc>
          <w:tcPr>
            <w:tcW w:w="663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宋体"/>
                <w:color w:val="000000"/>
                <w:szCs w:val="21"/>
              </w:rPr>
            </w:pPr>
          </w:p>
        </w:tc>
        <w:tc>
          <w:tcPr>
            <w:tcW w:w="680" w:type="dxa"/>
            <w:vMerge w:val="continue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0" w:type="dxa"/>
            <w:vMerge w:val="continue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宋体"/>
                <w:color w:val="000000"/>
                <w:szCs w:val="21"/>
              </w:rPr>
            </w:pPr>
          </w:p>
        </w:tc>
        <w:tc>
          <w:tcPr>
            <w:tcW w:w="4748" w:type="dxa"/>
            <w:gridSpan w:val="2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宋体"/>
                <w:color w:val="00000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szCs w:val="21"/>
              </w:rPr>
              <w:t>研学手册：认真完成研学手册，书写认真，记载完整。</w:t>
            </w:r>
          </w:p>
        </w:tc>
        <w:tc>
          <w:tcPr>
            <w:tcW w:w="667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宋体"/>
                <w:color w:val="000000"/>
                <w:szCs w:val="21"/>
              </w:rPr>
            </w:pPr>
          </w:p>
        </w:tc>
        <w:tc>
          <w:tcPr>
            <w:tcW w:w="663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宋体"/>
                <w:color w:val="000000"/>
                <w:szCs w:val="21"/>
              </w:rPr>
            </w:pPr>
          </w:p>
        </w:tc>
        <w:tc>
          <w:tcPr>
            <w:tcW w:w="663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宋体"/>
                <w:color w:val="000000"/>
                <w:szCs w:val="21"/>
              </w:rPr>
            </w:pPr>
          </w:p>
        </w:tc>
        <w:tc>
          <w:tcPr>
            <w:tcW w:w="680" w:type="dxa"/>
            <w:vMerge w:val="continue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71" w:type="dxa"/>
            <w:gridSpan w:val="7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宋体"/>
                <w:color w:val="00000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szCs w:val="21"/>
              </w:rPr>
              <w:t>评价标准：A 优秀； B 良好； C 合作；D 待改进</w:t>
            </w:r>
          </w:p>
        </w:tc>
      </w:tr>
    </w:tbl>
    <w:p>
      <w:pPr>
        <w:widowControl w:val="0"/>
        <w:spacing w:after="0" w:line="360" w:lineRule="auto"/>
        <w:ind w:firstLine="422" w:firstLineChars="200"/>
        <w:rPr>
          <w:rFonts w:ascii="仿宋" w:hAnsi="仿宋" w:eastAsia="仿宋" w:cs="宋体"/>
          <w:b/>
          <w:bCs/>
          <w:color w:val="000000"/>
          <w:szCs w:val="21"/>
        </w:rPr>
      </w:pPr>
    </w:p>
    <w:p>
      <w:pPr>
        <w:widowControl w:val="0"/>
        <w:numPr>
          <w:ilvl w:val="1"/>
          <w:numId w:val="3"/>
        </w:numPr>
        <w:spacing w:after="0" w:line="360" w:lineRule="auto"/>
        <w:ind w:firstLine="560" w:firstLineChars="200"/>
        <w:rPr>
          <w:rFonts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基地评价</w:t>
      </w:r>
    </w:p>
    <w:p>
      <w:pPr>
        <w:widowControl w:val="0"/>
        <w:spacing w:after="0" w:line="360" w:lineRule="auto"/>
        <w:ind w:firstLine="422" w:firstLineChars="200"/>
        <w:rPr>
          <w:rFonts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宋体"/>
          <w:b/>
          <w:bCs/>
          <w:color w:val="000000"/>
          <w:szCs w:val="21"/>
        </w:rPr>
        <w:t>三峡人家研学基地评价表</w:t>
      </w:r>
    </w:p>
    <w:tbl>
      <w:tblPr>
        <w:tblStyle w:val="2"/>
        <w:tblW w:w="10239" w:type="dxa"/>
        <w:tblInd w:w="-8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6"/>
        <w:gridCol w:w="1012"/>
        <w:gridCol w:w="1749"/>
        <w:gridCol w:w="1830"/>
        <w:gridCol w:w="1773"/>
        <w:gridCol w:w="1716"/>
        <w:gridCol w:w="16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830" w:type="dxa"/>
            <w:gridSpan w:val="5"/>
            <w:vAlign w:val="center"/>
          </w:tcPr>
          <w:p>
            <w:pPr>
              <w:widowControl w:val="0"/>
              <w:spacing w:after="0"/>
              <w:ind w:right="-99" w:rightChars="-47"/>
              <w:rPr>
                <w:rFonts w:ascii="仿宋" w:hAnsi="仿宋" w:eastAsia="仿宋" w:cs="宋体"/>
                <w:b/>
                <w:bCs/>
                <w:color w:val="000000"/>
                <w:szCs w:val="21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szCs w:val="21"/>
              </w:rPr>
              <w:t>学校：</w:t>
            </w:r>
          </w:p>
        </w:tc>
        <w:tc>
          <w:tcPr>
            <w:tcW w:w="3409" w:type="dxa"/>
            <w:gridSpan w:val="2"/>
            <w:vAlign w:val="center"/>
          </w:tcPr>
          <w:p>
            <w:pPr>
              <w:widowControl w:val="0"/>
              <w:spacing w:after="0"/>
              <w:ind w:right="-99" w:rightChars="-47"/>
              <w:rPr>
                <w:rFonts w:ascii="仿宋" w:hAnsi="仿宋" w:eastAsia="仿宋" w:cs="宋体"/>
                <w:b/>
                <w:bCs/>
                <w:color w:val="000000"/>
                <w:szCs w:val="21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szCs w:val="21"/>
              </w:rPr>
              <w:t>研学时间：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0" w:type="dxa"/>
            <w:gridSpan w:val="5"/>
            <w:vAlign w:val="center"/>
          </w:tcPr>
          <w:p>
            <w:pPr>
              <w:widowControl w:val="0"/>
              <w:spacing w:after="0"/>
              <w:ind w:right="-99" w:rightChars="-47"/>
              <w:rPr>
                <w:rFonts w:ascii="仿宋" w:hAnsi="仿宋" w:eastAsia="仿宋" w:cs="宋体"/>
                <w:b/>
                <w:bCs/>
                <w:color w:val="000000"/>
                <w:szCs w:val="21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szCs w:val="21"/>
              </w:rPr>
              <w:t>研学课程名称：</w:t>
            </w:r>
          </w:p>
        </w:tc>
        <w:tc>
          <w:tcPr>
            <w:tcW w:w="3409" w:type="dxa"/>
            <w:gridSpan w:val="2"/>
            <w:vAlign w:val="center"/>
          </w:tcPr>
          <w:p>
            <w:pPr>
              <w:widowControl w:val="0"/>
              <w:spacing w:after="0"/>
              <w:ind w:right="-99" w:rightChars="-47"/>
              <w:rPr>
                <w:rFonts w:ascii="仿宋" w:hAnsi="仿宋" w:eastAsia="仿宋" w:cs="宋体"/>
                <w:b/>
                <w:bCs/>
                <w:color w:val="000000"/>
                <w:szCs w:val="21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szCs w:val="21"/>
              </w:rPr>
              <w:t>研学导师：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1478" w:type="dxa"/>
            <w:gridSpan w:val="2"/>
            <w:vMerge w:val="restart"/>
            <w:vAlign w:val="center"/>
          </w:tcPr>
          <w:p>
            <w:pPr>
              <w:widowControl w:val="0"/>
              <w:spacing w:after="0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项目</w:t>
            </w:r>
          </w:p>
        </w:tc>
        <w:tc>
          <w:tcPr>
            <w:tcW w:w="1749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导师综合素质</w:t>
            </w:r>
          </w:p>
        </w:tc>
        <w:tc>
          <w:tcPr>
            <w:tcW w:w="1830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研学线路特色</w:t>
            </w:r>
          </w:p>
        </w:tc>
        <w:tc>
          <w:tcPr>
            <w:tcW w:w="1773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研学课程实施</w:t>
            </w:r>
          </w:p>
        </w:tc>
        <w:tc>
          <w:tcPr>
            <w:tcW w:w="1716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基地硬件环境</w:t>
            </w:r>
          </w:p>
        </w:tc>
        <w:tc>
          <w:tcPr>
            <w:tcW w:w="1693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研学安全保障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1" w:hRule="atLeast"/>
        </w:trPr>
        <w:tc>
          <w:tcPr>
            <w:tcW w:w="1478" w:type="dxa"/>
            <w:gridSpan w:val="2"/>
            <w:vMerge w:val="continue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1749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综合素质高</w:t>
            </w:r>
          </w:p>
          <w:p>
            <w:pPr>
              <w:widowControl w:val="0"/>
              <w:spacing w:after="0"/>
              <w:rPr>
                <w:rFonts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文化知识储备丰富</w:t>
            </w:r>
          </w:p>
          <w:p>
            <w:pPr>
              <w:widowControl w:val="0"/>
              <w:spacing w:after="0"/>
              <w:rPr>
                <w:rFonts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较强的课堂掌控力</w:t>
            </w:r>
          </w:p>
        </w:tc>
        <w:tc>
          <w:tcPr>
            <w:tcW w:w="1830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线路安排合理</w:t>
            </w:r>
          </w:p>
          <w:p>
            <w:pPr>
              <w:widowControl w:val="0"/>
              <w:spacing w:after="0"/>
              <w:rPr>
                <w:rFonts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研学资源丰富</w:t>
            </w:r>
          </w:p>
          <w:p>
            <w:pPr>
              <w:widowControl w:val="0"/>
              <w:spacing w:after="0"/>
              <w:rPr>
                <w:rFonts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独具宜昌特色</w:t>
            </w:r>
          </w:p>
        </w:tc>
        <w:tc>
          <w:tcPr>
            <w:tcW w:w="1773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课程实施流畅</w:t>
            </w:r>
          </w:p>
          <w:p>
            <w:pPr>
              <w:widowControl w:val="0"/>
              <w:spacing w:after="0"/>
              <w:rPr>
                <w:rFonts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课程安排合理</w:t>
            </w:r>
          </w:p>
        </w:tc>
        <w:tc>
          <w:tcPr>
            <w:tcW w:w="1716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基地硬件设施完备</w:t>
            </w:r>
          </w:p>
          <w:p>
            <w:pPr>
              <w:widowControl w:val="0"/>
              <w:spacing w:after="0"/>
              <w:rPr>
                <w:rFonts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研学环境舒适</w:t>
            </w:r>
          </w:p>
        </w:tc>
        <w:tc>
          <w:tcPr>
            <w:tcW w:w="1693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安全设施完备</w:t>
            </w:r>
          </w:p>
          <w:p>
            <w:pPr>
              <w:widowControl w:val="0"/>
              <w:spacing w:after="0"/>
              <w:rPr>
                <w:rFonts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安全员配备合理</w:t>
            </w:r>
          </w:p>
          <w:p>
            <w:pPr>
              <w:widowControl w:val="0"/>
              <w:spacing w:after="0"/>
              <w:rPr>
                <w:rFonts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安全预案完善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466" w:type="dxa"/>
            <w:vMerge w:val="restart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学</w:t>
            </w:r>
          </w:p>
          <w:p>
            <w:pPr>
              <w:widowControl w:val="0"/>
              <w:spacing w:after="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生</w:t>
            </w:r>
          </w:p>
          <w:p>
            <w:pPr>
              <w:widowControl w:val="0"/>
              <w:spacing w:after="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代</w:t>
            </w:r>
          </w:p>
          <w:p>
            <w:pPr>
              <w:widowControl w:val="0"/>
              <w:spacing w:after="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表</w:t>
            </w:r>
          </w:p>
        </w:tc>
        <w:tc>
          <w:tcPr>
            <w:tcW w:w="1012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仿宋"/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仿宋"/>
                <w:sz w:val="18"/>
                <w:szCs w:val="18"/>
              </w:rPr>
            </w:pPr>
          </w:p>
        </w:tc>
        <w:tc>
          <w:tcPr>
            <w:tcW w:w="1830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仿宋"/>
                <w:sz w:val="18"/>
                <w:szCs w:val="18"/>
              </w:rPr>
            </w:pPr>
          </w:p>
        </w:tc>
        <w:tc>
          <w:tcPr>
            <w:tcW w:w="1773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仿宋"/>
                <w:sz w:val="18"/>
                <w:szCs w:val="18"/>
              </w:rPr>
            </w:pPr>
          </w:p>
        </w:tc>
        <w:tc>
          <w:tcPr>
            <w:tcW w:w="1716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仿宋"/>
                <w:sz w:val="18"/>
                <w:szCs w:val="18"/>
              </w:rPr>
            </w:pPr>
          </w:p>
        </w:tc>
        <w:tc>
          <w:tcPr>
            <w:tcW w:w="1693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仿宋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466" w:type="dxa"/>
            <w:vMerge w:val="continue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仿宋"/>
                <w:sz w:val="24"/>
                <w:szCs w:val="24"/>
              </w:rPr>
            </w:pPr>
          </w:p>
        </w:tc>
        <w:tc>
          <w:tcPr>
            <w:tcW w:w="1012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仿宋"/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仿宋"/>
                <w:sz w:val="18"/>
                <w:szCs w:val="18"/>
              </w:rPr>
            </w:pPr>
          </w:p>
        </w:tc>
        <w:tc>
          <w:tcPr>
            <w:tcW w:w="1830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仿宋"/>
                <w:sz w:val="18"/>
                <w:szCs w:val="18"/>
              </w:rPr>
            </w:pPr>
          </w:p>
        </w:tc>
        <w:tc>
          <w:tcPr>
            <w:tcW w:w="1773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仿宋"/>
                <w:sz w:val="18"/>
                <w:szCs w:val="18"/>
              </w:rPr>
            </w:pPr>
          </w:p>
        </w:tc>
        <w:tc>
          <w:tcPr>
            <w:tcW w:w="1716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仿宋"/>
                <w:sz w:val="18"/>
                <w:szCs w:val="18"/>
              </w:rPr>
            </w:pPr>
          </w:p>
        </w:tc>
        <w:tc>
          <w:tcPr>
            <w:tcW w:w="1693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仿宋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466" w:type="dxa"/>
            <w:vMerge w:val="continue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仿宋"/>
                <w:sz w:val="24"/>
                <w:szCs w:val="24"/>
              </w:rPr>
            </w:pPr>
          </w:p>
        </w:tc>
        <w:tc>
          <w:tcPr>
            <w:tcW w:w="1012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仿宋"/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仿宋"/>
                <w:sz w:val="18"/>
                <w:szCs w:val="18"/>
              </w:rPr>
            </w:pPr>
          </w:p>
        </w:tc>
        <w:tc>
          <w:tcPr>
            <w:tcW w:w="1830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仿宋"/>
                <w:sz w:val="18"/>
                <w:szCs w:val="18"/>
              </w:rPr>
            </w:pPr>
          </w:p>
        </w:tc>
        <w:tc>
          <w:tcPr>
            <w:tcW w:w="1773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仿宋"/>
                <w:sz w:val="18"/>
                <w:szCs w:val="18"/>
              </w:rPr>
            </w:pPr>
          </w:p>
        </w:tc>
        <w:tc>
          <w:tcPr>
            <w:tcW w:w="1716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仿宋"/>
                <w:sz w:val="18"/>
                <w:szCs w:val="18"/>
              </w:rPr>
            </w:pPr>
          </w:p>
        </w:tc>
        <w:tc>
          <w:tcPr>
            <w:tcW w:w="1693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仿宋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466" w:type="dxa"/>
            <w:vMerge w:val="continue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仿宋"/>
                <w:sz w:val="24"/>
                <w:szCs w:val="24"/>
              </w:rPr>
            </w:pPr>
          </w:p>
        </w:tc>
        <w:tc>
          <w:tcPr>
            <w:tcW w:w="1012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仿宋"/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仿宋"/>
                <w:sz w:val="18"/>
                <w:szCs w:val="18"/>
              </w:rPr>
            </w:pPr>
          </w:p>
        </w:tc>
        <w:tc>
          <w:tcPr>
            <w:tcW w:w="1830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仿宋"/>
                <w:sz w:val="18"/>
                <w:szCs w:val="18"/>
              </w:rPr>
            </w:pPr>
          </w:p>
        </w:tc>
        <w:tc>
          <w:tcPr>
            <w:tcW w:w="1773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仿宋"/>
                <w:sz w:val="18"/>
                <w:szCs w:val="18"/>
              </w:rPr>
            </w:pPr>
          </w:p>
        </w:tc>
        <w:tc>
          <w:tcPr>
            <w:tcW w:w="1716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仿宋"/>
                <w:sz w:val="18"/>
                <w:szCs w:val="18"/>
              </w:rPr>
            </w:pPr>
          </w:p>
        </w:tc>
        <w:tc>
          <w:tcPr>
            <w:tcW w:w="1693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仿宋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466" w:type="dxa"/>
            <w:vMerge w:val="continue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仿宋"/>
                <w:sz w:val="24"/>
                <w:szCs w:val="24"/>
              </w:rPr>
            </w:pPr>
          </w:p>
        </w:tc>
        <w:tc>
          <w:tcPr>
            <w:tcW w:w="1012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仿宋"/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仿宋"/>
                <w:sz w:val="18"/>
                <w:szCs w:val="18"/>
              </w:rPr>
            </w:pPr>
          </w:p>
        </w:tc>
        <w:tc>
          <w:tcPr>
            <w:tcW w:w="1830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仿宋"/>
                <w:sz w:val="18"/>
                <w:szCs w:val="18"/>
              </w:rPr>
            </w:pPr>
          </w:p>
        </w:tc>
        <w:tc>
          <w:tcPr>
            <w:tcW w:w="1773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仿宋"/>
                <w:sz w:val="18"/>
                <w:szCs w:val="18"/>
              </w:rPr>
            </w:pPr>
          </w:p>
        </w:tc>
        <w:tc>
          <w:tcPr>
            <w:tcW w:w="1716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仿宋"/>
                <w:sz w:val="18"/>
                <w:szCs w:val="18"/>
              </w:rPr>
            </w:pPr>
          </w:p>
        </w:tc>
        <w:tc>
          <w:tcPr>
            <w:tcW w:w="1693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仿宋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466" w:type="dxa"/>
            <w:vMerge w:val="restart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家长代表</w:t>
            </w:r>
          </w:p>
        </w:tc>
        <w:tc>
          <w:tcPr>
            <w:tcW w:w="1012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仿宋"/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仿宋"/>
                <w:sz w:val="18"/>
                <w:szCs w:val="18"/>
              </w:rPr>
            </w:pPr>
          </w:p>
        </w:tc>
        <w:tc>
          <w:tcPr>
            <w:tcW w:w="1830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仿宋"/>
                <w:sz w:val="18"/>
                <w:szCs w:val="18"/>
              </w:rPr>
            </w:pPr>
          </w:p>
        </w:tc>
        <w:tc>
          <w:tcPr>
            <w:tcW w:w="1773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仿宋"/>
                <w:sz w:val="18"/>
                <w:szCs w:val="18"/>
              </w:rPr>
            </w:pPr>
          </w:p>
        </w:tc>
        <w:tc>
          <w:tcPr>
            <w:tcW w:w="1716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仿宋"/>
                <w:sz w:val="18"/>
                <w:szCs w:val="18"/>
              </w:rPr>
            </w:pPr>
          </w:p>
        </w:tc>
        <w:tc>
          <w:tcPr>
            <w:tcW w:w="1693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仿宋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1" w:hRule="atLeast"/>
        </w:trPr>
        <w:tc>
          <w:tcPr>
            <w:tcW w:w="466" w:type="dxa"/>
            <w:vMerge w:val="continue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仿宋"/>
                <w:sz w:val="24"/>
                <w:szCs w:val="24"/>
              </w:rPr>
            </w:pPr>
          </w:p>
        </w:tc>
        <w:tc>
          <w:tcPr>
            <w:tcW w:w="1012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仿宋"/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仿宋"/>
                <w:sz w:val="18"/>
                <w:szCs w:val="18"/>
              </w:rPr>
            </w:pPr>
          </w:p>
        </w:tc>
        <w:tc>
          <w:tcPr>
            <w:tcW w:w="1830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仿宋"/>
                <w:sz w:val="18"/>
                <w:szCs w:val="18"/>
              </w:rPr>
            </w:pPr>
          </w:p>
        </w:tc>
        <w:tc>
          <w:tcPr>
            <w:tcW w:w="1773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仿宋"/>
                <w:sz w:val="18"/>
                <w:szCs w:val="18"/>
              </w:rPr>
            </w:pPr>
          </w:p>
        </w:tc>
        <w:tc>
          <w:tcPr>
            <w:tcW w:w="1716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仿宋"/>
                <w:sz w:val="18"/>
                <w:szCs w:val="18"/>
              </w:rPr>
            </w:pPr>
          </w:p>
        </w:tc>
        <w:tc>
          <w:tcPr>
            <w:tcW w:w="1693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仿宋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</w:trPr>
        <w:tc>
          <w:tcPr>
            <w:tcW w:w="466" w:type="dxa"/>
            <w:vMerge w:val="restart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老师代表</w:t>
            </w:r>
          </w:p>
        </w:tc>
        <w:tc>
          <w:tcPr>
            <w:tcW w:w="1012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仿宋"/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仿宋"/>
                <w:sz w:val="18"/>
                <w:szCs w:val="18"/>
              </w:rPr>
            </w:pPr>
          </w:p>
        </w:tc>
        <w:tc>
          <w:tcPr>
            <w:tcW w:w="1830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仿宋"/>
                <w:sz w:val="18"/>
                <w:szCs w:val="18"/>
              </w:rPr>
            </w:pPr>
          </w:p>
        </w:tc>
        <w:tc>
          <w:tcPr>
            <w:tcW w:w="1773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仿宋"/>
                <w:sz w:val="18"/>
                <w:szCs w:val="18"/>
              </w:rPr>
            </w:pPr>
          </w:p>
        </w:tc>
        <w:tc>
          <w:tcPr>
            <w:tcW w:w="1716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仿宋"/>
                <w:sz w:val="18"/>
                <w:szCs w:val="18"/>
              </w:rPr>
            </w:pPr>
          </w:p>
        </w:tc>
        <w:tc>
          <w:tcPr>
            <w:tcW w:w="1693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仿宋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6" w:type="dxa"/>
            <w:vMerge w:val="continue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1012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1749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仿宋"/>
                <w:sz w:val="18"/>
                <w:szCs w:val="18"/>
              </w:rPr>
            </w:pPr>
          </w:p>
        </w:tc>
        <w:tc>
          <w:tcPr>
            <w:tcW w:w="1830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仿宋"/>
                <w:sz w:val="18"/>
                <w:szCs w:val="18"/>
              </w:rPr>
            </w:pPr>
          </w:p>
        </w:tc>
        <w:tc>
          <w:tcPr>
            <w:tcW w:w="1773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仿宋"/>
                <w:sz w:val="18"/>
                <w:szCs w:val="18"/>
              </w:rPr>
            </w:pPr>
          </w:p>
        </w:tc>
        <w:tc>
          <w:tcPr>
            <w:tcW w:w="1716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仿宋"/>
                <w:sz w:val="18"/>
                <w:szCs w:val="18"/>
              </w:rPr>
            </w:pPr>
          </w:p>
        </w:tc>
        <w:tc>
          <w:tcPr>
            <w:tcW w:w="1693" w:type="dxa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仿宋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6" w:hRule="atLeast"/>
        </w:trPr>
        <w:tc>
          <w:tcPr>
            <w:tcW w:w="1478" w:type="dxa"/>
            <w:gridSpan w:val="2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详细意见</w:t>
            </w:r>
          </w:p>
        </w:tc>
        <w:tc>
          <w:tcPr>
            <w:tcW w:w="8761" w:type="dxa"/>
            <w:gridSpan w:val="5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6" w:hRule="atLeast"/>
        </w:trPr>
        <w:tc>
          <w:tcPr>
            <w:tcW w:w="1478" w:type="dxa"/>
            <w:gridSpan w:val="2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等级说明</w:t>
            </w:r>
          </w:p>
        </w:tc>
        <w:tc>
          <w:tcPr>
            <w:tcW w:w="8761" w:type="dxa"/>
            <w:gridSpan w:val="5"/>
            <w:vAlign w:val="center"/>
          </w:tcPr>
          <w:p>
            <w:pPr>
              <w:widowControl w:val="0"/>
              <w:spacing w:after="0"/>
              <w:rPr>
                <w:rFonts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A等优秀；B等良好；C等合格，D等有待改进。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/>
          <w:b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/>
          <w:color w:val="auto"/>
          <w:sz w:val="28"/>
          <w:szCs w:val="28"/>
          <w:lang w:val="en-US" w:eastAsia="zh-CN"/>
        </w:rPr>
        <w:t>安全事项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/>
          <w:b w:val="0"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 w:val="0"/>
          <w:bCs/>
          <w:color w:val="auto"/>
          <w:sz w:val="28"/>
          <w:szCs w:val="28"/>
          <w:lang w:val="en-US" w:eastAsia="zh-CN"/>
        </w:rPr>
        <w:t>1</w:t>
      </w:r>
      <w:r>
        <w:rPr>
          <w:rFonts w:hint="default" w:ascii="仿宋" w:hAnsi="仿宋" w:eastAsia="仿宋"/>
          <w:b w:val="0"/>
          <w:bCs/>
          <w:color w:val="auto"/>
          <w:sz w:val="28"/>
          <w:szCs w:val="28"/>
          <w:lang w:val="en-US" w:eastAsia="zh-CN"/>
        </w:rPr>
        <w:t>．坚持“安全第一、预防为主、综合治理”的安全生产指导方针，安全责任落实到人，层层把关，杜绝安全隐患。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/>
          <w:b w:val="0"/>
          <w:bCs/>
          <w:color w:val="auto"/>
          <w:sz w:val="28"/>
          <w:szCs w:val="28"/>
          <w:lang w:val="en-US" w:eastAsia="zh-CN"/>
        </w:rPr>
      </w:pPr>
      <w:r>
        <w:rPr>
          <w:rFonts w:hint="default" w:ascii="仿宋" w:hAnsi="仿宋" w:eastAsia="仿宋"/>
          <w:b w:val="0"/>
          <w:bCs/>
          <w:color w:val="auto"/>
          <w:sz w:val="28"/>
          <w:szCs w:val="28"/>
          <w:lang w:val="en-US" w:eastAsia="zh-CN"/>
        </w:rPr>
        <w:t>2．电子监控已经实现景区全覆盖，总控进行巡查监督，保证指挥中心在调度上做出快速响应，做好紧急预案。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/>
          <w:b w:val="0"/>
          <w:bCs/>
          <w:color w:val="auto"/>
          <w:sz w:val="28"/>
          <w:szCs w:val="28"/>
          <w:lang w:val="en-US" w:eastAsia="zh-CN"/>
        </w:rPr>
      </w:pPr>
      <w:r>
        <w:rPr>
          <w:rFonts w:hint="default" w:ascii="仿宋" w:hAnsi="仿宋" w:eastAsia="仿宋"/>
          <w:b w:val="0"/>
          <w:bCs/>
          <w:color w:val="auto"/>
          <w:sz w:val="28"/>
          <w:szCs w:val="28"/>
          <w:lang w:val="en-US" w:eastAsia="zh-CN"/>
        </w:rPr>
        <w:t>3．加强安全员持证上岗，安全员跟随班级活动，保障学生安全，并及时有效处理突发事件。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/>
          <w:b w:val="0"/>
          <w:bCs/>
          <w:color w:val="auto"/>
          <w:sz w:val="28"/>
          <w:szCs w:val="28"/>
          <w:lang w:val="en-US" w:eastAsia="zh-CN"/>
        </w:rPr>
      </w:pPr>
      <w:r>
        <w:rPr>
          <w:rFonts w:hint="default" w:ascii="仿宋" w:hAnsi="仿宋" w:eastAsia="仿宋"/>
          <w:b w:val="0"/>
          <w:bCs/>
          <w:color w:val="auto"/>
          <w:sz w:val="28"/>
          <w:szCs w:val="28"/>
          <w:lang w:val="en-US" w:eastAsia="zh-CN"/>
        </w:rPr>
        <w:t>4．强化安全预案的编制和实施，做到安全预案人人知晓、人人过关。做好定期、不定期安全检查，签订层层安全责任状，强化安全问责制，有效预防安全隐患。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/>
          <w:b w:val="0"/>
          <w:bCs/>
          <w:color w:val="auto"/>
          <w:sz w:val="28"/>
          <w:szCs w:val="28"/>
          <w:lang w:val="en-US" w:eastAsia="zh-CN"/>
        </w:rPr>
      </w:pPr>
      <w:r>
        <w:rPr>
          <w:rFonts w:hint="default" w:ascii="仿宋" w:hAnsi="仿宋" w:eastAsia="仿宋"/>
          <w:b w:val="0"/>
          <w:bCs/>
          <w:color w:val="auto"/>
          <w:sz w:val="28"/>
          <w:szCs w:val="28"/>
          <w:lang w:val="en-US" w:eastAsia="zh-CN"/>
        </w:rPr>
        <w:t>5．定期举办各类安全培训、救援与疏散预案的演练，使救援机制得到有效落实，确保安全管理目标的实现。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/>
          <w:b w:val="0"/>
          <w:bCs/>
          <w:color w:val="auto"/>
          <w:sz w:val="28"/>
          <w:szCs w:val="28"/>
          <w:lang w:val="en-US" w:eastAsia="zh-CN"/>
        </w:rPr>
      </w:pPr>
      <w:r>
        <w:rPr>
          <w:rFonts w:hint="default" w:ascii="仿宋" w:hAnsi="仿宋" w:eastAsia="仿宋"/>
          <w:b w:val="0"/>
          <w:bCs/>
          <w:color w:val="auto"/>
          <w:sz w:val="28"/>
          <w:szCs w:val="28"/>
          <w:lang w:val="en-US" w:eastAsia="zh-CN"/>
        </w:rPr>
        <w:t>6．基地配置专业的医务室和医疗救护装备，可以最短时间给学生处理意外伤害，保证研学安全有序进行；情况严重的及时拨打110、120、119寻求援助，以最快的速度把受伤的学生送往就近的医院救治，并通知家长；重大事故的处理移交上级相关部门，并采取有效措施，积极做好善后处理工作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/>
          <w:b w:val="0"/>
          <w:bCs/>
          <w:color w:val="auto"/>
          <w:sz w:val="28"/>
          <w:szCs w:val="28"/>
          <w:lang w:val="en-US" w:eastAsia="zh-CN"/>
        </w:rPr>
      </w:pPr>
      <w:r>
        <w:rPr>
          <w:rFonts w:hint="default" w:ascii="仿宋" w:hAnsi="仿宋" w:eastAsia="仿宋"/>
          <w:b w:val="0"/>
          <w:bCs/>
          <w:color w:val="auto"/>
          <w:sz w:val="28"/>
          <w:szCs w:val="28"/>
          <w:lang w:val="en-US" w:eastAsia="zh-CN"/>
        </w:rPr>
        <w:t>7．研学导师都是经过严格挑选，富有爱心、责任心，入职前统一接受专业培训，培训内容包括危机处理、儿童心理学及青少年辅导等。研学活动体验过程中，研学老师及安全员时刻提醒学生注意安全，并积极做好预防教育及措施，严禁在研学现场疯赶打闹，禁止进入危险区域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/>
          <w:b w:val="0"/>
          <w:bCs/>
          <w:color w:val="auto"/>
          <w:sz w:val="28"/>
          <w:szCs w:val="28"/>
          <w:lang w:val="en-US" w:eastAsia="zh-CN"/>
        </w:rPr>
      </w:pPr>
      <w:r>
        <w:rPr>
          <w:rFonts w:hint="default" w:ascii="仿宋" w:hAnsi="仿宋" w:eastAsia="仿宋"/>
          <w:b w:val="0"/>
          <w:bCs/>
          <w:color w:val="auto"/>
          <w:sz w:val="28"/>
          <w:szCs w:val="28"/>
          <w:lang w:val="en-US" w:eastAsia="zh-CN"/>
        </w:rPr>
        <w:t>8．旅游交通安全保障：旅游车、司机签约车队：专业公司空调旅游车，性能良好，并附有保险；司机具有有效驾驶牌照，有高度安全意识、举止有礼。禁止司机工作过劳而产生疲劳，影响行车安全。司机不可送团队到行程表内未列出之地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/>
          <w:b w:val="0"/>
          <w:bCs/>
          <w:color w:val="auto"/>
          <w:sz w:val="28"/>
          <w:szCs w:val="28"/>
          <w:lang w:val="en-US" w:eastAsia="zh-CN"/>
        </w:rPr>
      </w:pPr>
      <w:r>
        <w:rPr>
          <w:rFonts w:hint="default" w:ascii="仿宋" w:hAnsi="仿宋" w:eastAsia="仿宋"/>
          <w:b w:val="0"/>
          <w:bCs/>
          <w:color w:val="auto"/>
          <w:sz w:val="28"/>
          <w:szCs w:val="28"/>
          <w:lang w:val="en-US" w:eastAsia="zh-CN"/>
        </w:rPr>
        <w:t>9．餐饮安全保障：提供研学的用餐地点有食品安全许可证，厨房卫生、消防设施合格，餐食标准符合接待研学团队条件，营养、安全、符合青少年口味。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/>
          <w:b/>
          <w:color w:val="auto"/>
          <w:sz w:val="28"/>
          <w:szCs w:val="28"/>
          <w:lang w:val="en-US" w:eastAsia="zh-CN"/>
        </w:rPr>
      </w:pPr>
      <w:r>
        <w:rPr>
          <w:rFonts w:hint="default" w:ascii="仿宋" w:hAnsi="仿宋" w:eastAsia="仿宋"/>
          <w:b w:val="0"/>
          <w:bCs/>
          <w:color w:val="auto"/>
          <w:sz w:val="28"/>
          <w:szCs w:val="28"/>
          <w:lang w:val="en-US" w:eastAsia="zh-CN"/>
        </w:rPr>
        <w:t>备注：如遇因不可抗力造成的特殊情况，可临时适当调整课程内容。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ACB76AF"/>
    <w:multiLevelType w:val="singleLevel"/>
    <w:tmpl w:val="AACB76AF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2B31363C"/>
    <w:multiLevelType w:val="multilevel"/>
    <w:tmpl w:val="2B31363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rPr>
        <w:rFonts w:hint="eastAsia"/>
      </w:rPr>
    </w:lvl>
    <w:lvl w:ilvl="3" w:tentative="0">
      <w:start w:val="1"/>
      <w:numFmt w:val="decimalEnclosedCircleChinese"/>
      <w:suff w:val="nothing"/>
      <w:lvlText w:val="%4"/>
      <w:lvlJc w:val="left"/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rPr>
        <w:rFonts w:hint="eastAsia"/>
      </w:rPr>
    </w:lvl>
    <w:lvl w:ilvl="7" w:tentative="0">
      <w:start w:val="1"/>
      <w:numFmt w:val="lowerRoman"/>
      <w:suff w:val="nothing"/>
      <w:lvlText w:val="%8．"/>
      <w:lvlJc w:val="left"/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rPr>
        <w:rFonts w:hint="eastAsia"/>
      </w:rPr>
    </w:lvl>
  </w:abstractNum>
  <w:abstractNum w:abstractNumId="2">
    <w:nsid w:val="2BB62CE7"/>
    <w:multiLevelType w:val="multilevel"/>
    <w:tmpl w:val="2BB62CE7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rPr>
        <w:rFonts w:hint="eastAsia"/>
      </w:rPr>
    </w:lvl>
    <w:lvl w:ilvl="3" w:tentative="0">
      <w:start w:val="1"/>
      <w:numFmt w:val="decimalEnclosedCircleChinese"/>
      <w:suff w:val="nothing"/>
      <w:lvlText w:val="%4"/>
      <w:lvlJc w:val="left"/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rPr>
        <w:rFonts w:hint="eastAsia"/>
      </w:rPr>
    </w:lvl>
    <w:lvl w:ilvl="7" w:tentative="0">
      <w:start w:val="1"/>
      <w:numFmt w:val="lowerRoman"/>
      <w:suff w:val="nothing"/>
      <w:lvlText w:val="%8．"/>
      <w:lvlJc w:val="left"/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rPr>
        <w:rFonts w:hint="eastAsia"/>
      </w:rPr>
    </w:lvl>
  </w:abstractNum>
  <w:abstractNum w:abstractNumId="3">
    <w:nsid w:val="7CFD4A83"/>
    <w:multiLevelType w:val="singleLevel"/>
    <w:tmpl w:val="7CFD4A83"/>
    <w:lvl w:ilvl="0" w:tentative="0">
      <w:start w:val="1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4D6299"/>
    <w:rsid w:val="006A0CC6"/>
    <w:rsid w:val="0091001D"/>
    <w:rsid w:val="00A45725"/>
    <w:rsid w:val="012F3D9F"/>
    <w:rsid w:val="02060D99"/>
    <w:rsid w:val="02394AD8"/>
    <w:rsid w:val="02EA3FAA"/>
    <w:rsid w:val="03433957"/>
    <w:rsid w:val="03A43C4C"/>
    <w:rsid w:val="03BD58A6"/>
    <w:rsid w:val="045A30EC"/>
    <w:rsid w:val="04E04909"/>
    <w:rsid w:val="050A742F"/>
    <w:rsid w:val="060C015D"/>
    <w:rsid w:val="06266A98"/>
    <w:rsid w:val="06510DDE"/>
    <w:rsid w:val="068A6A4F"/>
    <w:rsid w:val="068E5E78"/>
    <w:rsid w:val="06CD03DD"/>
    <w:rsid w:val="06D12637"/>
    <w:rsid w:val="07725691"/>
    <w:rsid w:val="07AB7255"/>
    <w:rsid w:val="07F01A43"/>
    <w:rsid w:val="08BF641C"/>
    <w:rsid w:val="092302CA"/>
    <w:rsid w:val="095B1C7A"/>
    <w:rsid w:val="099D3DA7"/>
    <w:rsid w:val="09FE3280"/>
    <w:rsid w:val="0A3E5543"/>
    <w:rsid w:val="0A705747"/>
    <w:rsid w:val="0CA0075C"/>
    <w:rsid w:val="0CD3796A"/>
    <w:rsid w:val="0CD53695"/>
    <w:rsid w:val="0CEA5A07"/>
    <w:rsid w:val="0E423CFD"/>
    <w:rsid w:val="0EC2486A"/>
    <w:rsid w:val="0F416A75"/>
    <w:rsid w:val="0FBF59F9"/>
    <w:rsid w:val="0FFD376A"/>
    <w:rsid w:val="10195536"/>
    <w:rsid w:val="10DC3893"/>
    <w:rsid w:val="10F46FF8"/>
    <w:rsid w:val="113C22C3"/>
    <w:rsid w:val="1209537E"/>
    <w:rsid w:val="12995617"/>
    <w:rsid w:val="12A06D76"/>
    <w:rsid w:val="13F06130"/>
    <w:rsid w:val="14105177"/>
    <w:rsid w:val="15367C77"/>
    <w:rsid w:val="1588258D"/>
    <w:rsid w:val="159F3053"/>
    <w:rsid w:val="164B5D49"/>
    <w:rsid w:val="17D41E6F"/>
    <w:rsid w:val="18557094"/>
    <w:rsid w:val="1864717F"/>
    <w:rsid w:val="18832ACC"/>
    <w:rsid w:val="189B66DE"/>
    <w:rsid w:val="19230C9B"/>
    <w:rsid w:val="196827D3"/>
    <w:rsid w:val="19AE39C7"/>
    <w:rsid w:val="1A5E1200"/>
    <w:rsid w:val="1A602092"/>
    <w:rsid w:val="1AA82D44"/>
    <w:rsid w:val="1B390DC8"/>
    <w:rsid w:val="1B723BED"/>
    <w:rsid w:val="1BA11CCB"/>
    <w:rsid w:val="1BB9405D"/>
    <w:rsid w:val="1CAA4BF9"/>
    <w:rsid w:val="1CE512AF"/>
    <w:rsid w:val="1EC5074C"/>
    <w:rsid w:val="1F292BD8"/>
    <w:rsid w:val="1F7D0D35"/>
    <w:rsid w:val="1FA93CDB"/>
    <w:rsid w:val="1FB44A1B"/>
    <w:rsid w:val="1FE10287"/>
    <w:rsid w:val="20843491"/>
    <w:rsid w:val="20C77557"/>
    <w:rsid w:val="21856B87"/>
    <w:rsid w:val="21A27E07"/>
    <w:rsid w:val="220778DB"/>
    <w:rsid w:val="22A52480"/>
    <w:rsid w:val="22BF0F4B"/>
    <w:rsid w:val="234904DA"/>
    <w:rsid w:val="23E83062"/>
    <w:rsid w:val="23F52AA0"/>
    <w:rsid w:val="24130FC0"/>
    <w:rsid w:val="25722296"/>
    <w:rsid w:val="2581333F"/>
    <w:rsid w:val="25CA1DAB"/>
    <w:rsid w:val="27E539B3"/>
    <w:rsid w:val="283E21BB"/>
    <w:rsid w:val="28E86A53"/>
    <w:rsid w:val="29300375"/>
    <w:rsid w:val="29717DA8"/>
    <w:rsid w:val="29EC14AA"/>
    <w:rsid w:val="2A467D64"/>
    <w:rsid w:val="2A837784"/>
    <w:rsid w:val="2ACF2A23"/>
    <w:rsid w:val="2AFC72FD"/>
    <w:rsid w:val="2B460442"/>
    <w:rsid w:val="2B671D30"/>
    <w:rsid w:val="2B8673C3"/>
    <w:rsid w:val="2C205816"/>
    <w:rsid w:val="2C41447B"/>
    <w:rsid w:val="2C4E31E3"/>
    <w:rsid w:val="2C535100"/>
    <w:rsid w:val="2C59105E"/>
    <w:rsid w:val="2D126D66"/>
    <w:rsid w:val="2D760E19"/>
    <w:rsid w:val="2DA32A73"/>
    <w:rsid w:val="2DB83265"/>
    <w:rsid w:val="2DBB3EFF"/>
    <w:rsid w:val="2E5A56A9"/>
    <w:rsid w:val="2EBD51F4"/>
    <w:rsid w:val="2EC152A8"/>
    <w:rsid w:val="2F0151BD"/>
    <w:rsid w:val="2F120C12"/>
    <w:rsid w:val="309F7B03"/>
    <w:rsid w:val="314C19AE"/>
    <w:rsid w:val="31A516F8"/>
    <w:rsid w:val="32FD2709"/>
    <w:rsid w:val="33CD15A5"/>
    <w:rsid w:val="33DB189E"/>
    <w:rsid w:val="34BA3904"/>
    <w:rsid w:val="34D54B41"/>
    <w:rsid w:val="35421B4F"/>
    <w:rsid w:val="357C0730"/>
    <w:rsid w:val="3632011E"/>
    <w:rsid w:val="364863E1"/>
    <w:rsid w:val="367243DA"/>
    <w:rsid w:val="36810FA7"/>
    <w:rsid w:val="369C5C1B"/>
    <w:rsid w:val="36AA783D"/>
    <w:rsid w:val="370B69FD"/>
    <w:rsid w:val="370E7D4D"/>
    <w:rsid w:val="37BB066B"/>
    <w:rsid w:val="380C77E5"/>
    <w:rsid w:val="38D106AF"/>
    <w:rsid w:val="398302C9"/>
    <w:rsid w:val="39850593"/>
    <w:rsid w:val="3A8712F8"/>
    <w:rsid w:val="3AF61D18"/>
    <w:rsid w:val="3B9223AE"/>
    <w:rsid w:val="3B9D55D1"/>
    <w:rsid w:val="3B9D759C"/>
    <w:rsid w:val="3C3D6187"/>
    <w:rsid w:val="3CD37CCF"/>
    <w:rsid w:val="3D6D07C5"/>
    <w:rsid w:val="3D813B03"/>
    <w:rsid w:val="3D936337"/>
    <w:rsid w:val="3DC36CB3"/>
    <w:rsid w:val="3E4B734B"/>
    <w:rsid w:val="3E8B1D4B"/>
    <w:rsid w:val="3F324A84"/>
    <w:rsid w:val="3F8049FE"/>
    <w:rsid w:val="3FFA25CF"/>
    <w:rsid w:val="40725008"/>
    <w:rsid w:val="408464A7"/>
    <w:rsid w:val="40967A39"/>
    <w:rsid w:val="40DA0596"/>
    <w:rsid w:val="40F1582D"/>
    <w:rsid w:val="411866A9"/>
    <w:rsid w:val="422F40DC"/>
    <w:rsid w:val="42703136"/>
    <w:rsid w:val="42840629"/>
    <w:rsid w:val="450303BD"/>
    <w:rsid w:val="454C50C2"/>
    <w:rsid w:val="45AE0A01"/>
    <w:rsid w:val="47A31C70"/>
    <w:rsid w:val="47F00760"/>
    <w:rsid w:val="486252EF"/>
    <w:rsid w:val="48E34EE8"/>
    <w:rsid w:val="49C30293"/>
    <w:rsid w:val="4A84030F"/>
    <w:rsid w:val="4ABE0636"/>
    <w:rsid w:val="4ADF1893"/>
    <w:rsid w:val="4AFC48E3"/>
    <w:rsid w:val="4B8C448C"/>
    <w:rsid w:val="4BC17C05"/>
    <w:rsid w:val="4BC51D7D"/>
    <w:rsid w:val="4BE146AD"/>
    <w:rsid w:val="4C51118C"/>
    <w:rsid w:val="4C644748"/>
    <w:rsid w:val="4C9307E5"/>
    <w:rsid w:val="4D6E4B45"/>
    <w:rsid w:val="4DE30681"/>
    <w:rsid w:val="4F045C1C"/>
    <w:rsid w:val="4F437FF3"/>
    <w:rsid w:val="4F8B3034"/>
    <w:rsid w:val="4F902587"/>
    <w:rsid w:val="4FEF080E"/>
    <w:rsid w:val="5029778B"/>
    <w:rsid w:val="507064E3"/>
    <w:rsid w:val="51613C71"/>
    <w:rsid w:val="526445C6"/>
    <w:rsid w:val="528B6E1B"/>
    <w:rsid w:val="52D15D55"/>
    <w:rsid w:val="531A23F5"/>
    <w:rsid w:val="531E4C78"/>
    <w:rsid w:val="533F3A16"/>
    <w:rsid w:val="5380506E"/>
    <w:rsid w:val="53B2558B"/>
    <w:rsid w:val="53FA77F0"/>
    <w:rsid w:val="544E4D85"/>
    <w:rsid w:val="545951FB"/>
    <w:rsid w:val="552733F4"/>
    <w:rsid w:val="554C3466"/>
    <w:rsid w:val="558373D3"/>
    <w:rsid w:val="55BE590C"/>
    <w:rsid w:val="56072C4F"/>
    <w:rsid w:val="56403575"/>
    <w:rsid w:val="56AF5016"/>
    <w:rsid w:val="57111730"/>
    <w:rsid w:val="57A31B49"/>
    <w:rsid w:val="584178CF"/>
    <w:rsid w:val="584E6682"/>
    <w:rsid w:val="58935C0C"/>
    <w:rsid w:val="58C73792"/>
    <w:rsid w:val="58CD2AE1"/>
    <w:rsid w:val="59440368"/>
    <w:rsid w:val="59525311"/>
    <w:rsid w:val="5961753D"/>
    <w:rsid w:val="59D03034"/>
    <w:rsid w:val="5B07134B"/>
    <w:rsid w:val="5D143754"/>
    <w:rsid w:val="5D174753"/>
    <w:rsid w:val="5DD72981"/>
    <w:rsid w:val="5E6F2C87"/>
    <w:rsid w:val="5E7737A3"/>
    <w:rsid w:val="5E967798"/>
    <w:rsid w:val="5E9710B2"/>
    <w:rsid w:val="5ECE5648"/>
    <w:rsid w:val="5EE83BEE"/>
    <w:rsid w:val="5FCA30D0"/>
    <w:rsid w:val="60052521"/>
    <w:rsid w:val="605B345A"/>
    <w:rsid w:val="60BF2FC9"/>
    <w:rsid w:val="60D82BFB"/>
    <w:rsid w:val="616A27BD"/>
    <w:rsid w:val="617F103C"/>
    <w:rsid w:val="618B6A93"/>
    <w:rsid w:val="619F6114"/>
    <w:rsid w:val="61A21C9D"/>
    <w:rsid w:val="61CA13AA"/>
    <w:rsid w:val="636B599E"/>
    <w:rsid w:val="63704540"/>
    <w:rsid w:val="63C04885"/>
    <w:rsid w:val="641646DD"/>
    <w:rsid w:val="64C35117"/>
    <w:rsid w:val="64F732CC"/>
    <w:rsid w:val="660B29BB"/>
    <w:rsid w:val="668250BA"/>
    <w:rsid w:val="6716165E"/>
    <w:rsid w:val="67247DCE"/>
    <w:rsid w:val="676E0F74"/>
    <w:rsid w:val="67872338"/>
    <w:rsid w:val="692373F9"/>
    <w:rsid w:val="696A6232"/>
    <w:rsid w:val="696D3FE8"/>
    <w:rsid w:val="69D939D1"/>
    <w:rsid w:val="69FA3DDC"/>
    <w:rsid w:val="6A536A43"/>
    <w:rsid w:val="6A9C5AB9"/>
    <w:rsid w:val="6AF452A9"/>
    <w:rsid w:val="6B1F3ECA"/>
    <w:rsid w:val="6B245920"/>
    <w:rsid w:val="6C69497D"/>
    <w:rsid w:val="6C7C6CBB"/>
    <w:rsid w:val="6D031F80"/>
    <w:rsid w:val="6DAC0F59"/>
    <w:rsid w:val="6DBC5A57"/>
    <w:rsid w:val="6E0D2713"/>
    <w:rsid w:val="6E924D4F"/>
    <w:rsid w:val="6EDC3CDE"/>
    <w:rsid w:val="6EF10440"/>
    <w:rsid w:val="6F1A555E"/>
    <w:rsid w:val="6FA93912"/>
    <w:rsid w:val="700D7FFA"/>
    <w:rsid w:val="701A5FC6"/>
    <w:rsid w:val="7076706C"/>
    <w:rsid w:val="708C64B8"/>
    <w:rsid w:val="70CE3275"/>
    <w:rsid w:val="70E43C77"/>
    <w:rsid w:val="72015796"/>
    <w:rsid w:val="737A17D5"/>
    <w:rsid w:val="737E40F1"/>
    <w:rsid w:val="73C73C41"/>
    <w:rsid w:val="73F03371"/>
    <w:rsid w:val="748F12E9"/>
    <w:rsid w:val="74CE7C4A"/>
    <w:rsid w:val="765242DE"/>
    <w:rsid w:val="766D748C"/>
    <w:rsid w:val="76717801"/>
    <w:rsid w:val="76AF0026"/>
    <w:rsid w:val="78292C07"/>
    <w:rsid w:val="79324EFD"/>
    <w:rsid w:val="7A6F5C7C"/>
    <w:rsid w:val="7AA70A8E"/>
    <w:rsid w:val="7AAA56DE"/>
    <w:rsid w:val="7B707956"/>
    <w:rsid w:val="7BDA6A7D"/>
    <w:rsid w:val="7BF04696"/>
    <w:rsid w:val="7C994B94"/>
    <w:rsid w:val="7CA40FE2"/>
    <w:rsid w:val="7D0D6774"/>
    <w:rsid w:val="7D386FA6"/>
    <w:rsid w:val="7DA52FDB"/>
    <w:rsid w:val="7DC65F84"/>
    <w:rsid w:val="7DF40A2B"/>
    <w:rsid w:val="7E2A3299"/>
    <w:rsid w:val="7E3C2718"/>
    <w:rsid w:val="7E834247"/>
    <w:rsid w:val="7F4D2D4D"/>
    <w:rsid w:val="7F8001F5"/>
    <w:rsid w:val="7FA83EF8"/>
    <w:rsid w:val="7FB1332B"/>
    <w:rsid w:val="7FB85563"/>
    <w:rsid w:val="7FFE108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  <w:style w:type="paragraph" w:styleId="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</TotalTime>
  <ScaleCrop>false</ScaleCrop>
  <LinksUpToDate>false</LinksUpToDate>
  <CharactersWithSpaces>0</CharactersWithSpaces>
  <Application>WPS Office_11.1.0.9926_F1E327BC-269C-435d-A152-05C5408002CA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刘辉</dc:creator>
  <cp:lastModifiedBy>周斌</cp:lastModifiedBy>
  <dcterms:modified xsi:type="dcterms:W3CDTF">2020-09-20T02:48:07Z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2052-11.1.0.9926</vt:lpwstr>
  </property>
</Properties>
</file>