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tabs>
          <w:tab w:val="left" w:pos="1210"/>
        </w:tabs>
        <w:spacing w:line="600" w:lineRule="exact"/>
        <w:jc w:val="center"/>
        <w:rPr>
          <w:rFonts w:hint="default" w:ascii="宋体" w:hAnsi="宋体" w:eastAsia="宋体" w:cs="仿宋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仿宋"/>
          <w:b/>
          <w:bCs/>
          <w:sz w:val="36"/>
          <w:szCs w:val="36"/>
          <w:lang w:val="en-US" w:eastAsia="zh-CN"/>
        </w:rPr>
        <w:t>嘉禾少年农业研学实践基地</w:t>
      </w:r>
      <w:bookmarkStart w:id="0" w:name="_GoBack"/>
      <w:bookmarkEnd w:id="0"/>
      <w:r>
        <w:rPr>
          <w:rFonts w:hint="eastAsia" w:ascii="宋体" w:hAnsi="宋体" w:eastAsia="宋体" w:cs="仿宋"/>
          <w:b/>
          <w:bCs/>
          <w:sz w:val="36"/>
          <w:szCs w:val="36"/>
          <w:lang w:val="en-US" w:eastAsia="zh-CN"/>
        </w:rPr>
        <w:t>地---定向+农业系列课程</w:t>
      </w:r>
    </w:p>
    <w:p>
      <w:pPr>
        <w:numPr>
          <w:ilvl w:val="0"/>
          <w:numId w:val="1"/>
        </w:numPr>
        <w:tabs>
          <w:tab w:val="left" w:pos="1210"/>
        </w:tabs>
        <w:spacing w:line="600" w:lineRule="exact"/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</w:rPr>
        <w:t>课程名称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spacing w:line="360" w:lineRule="exact"/>
        <w:ind w:firstLine="280" w:firstLineChars="100"/>
        <w:jc w:val="left"/>
        <w:rPr>
          <w:rFonts w:hint="default" w:ascii="宋体" w:hAnsi="宋体" w:eastAsia="宋体" w:cs="仿宋"/>
          <w:b w:val="0"/>
          <w:bCs w:val="0"/>
          <w:sz w:val="28"/>
          <w:szCs w:val="28"/>
          <w:rtl w:val="0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一粒种子的旅行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rtl w:val="0"/>
          <w:lang w:val="en-US" w:eastAsia="zh-CN"/>
        </w:rPr>
        <w:t>——稻</w:t>
      </w:r>
    </w:p>
    <w:p>
      <w:pPr>
        <w:tabs>
          <w:tab w:val="left" w:pos="1210"/>
        </w:tabs>
        <w:spacing w:line="600" w:lineRule="exact"/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仿宋"/>
          <w:b/>
          <w:bCs/>
          <w:sz w:val="28"/>
          <w:szCs w:val="28"/>
        </w:rPr>
        <w:t>适用学段</w:t>
      </w: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 xml:space="preserve">:  </w:t>
      </w:r>
    </w:p>
    <w:p>
      <w:pPr>
        <w:tabs>
          <w:tab w:val="left" w:pos="1210"/>
        </w:tabs>
        <w:spacing w:line="600" w:lineRule="exact"/>
        <w:ind w:firstLine="560" w:firstLineChars="200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小学高龄段、初中段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宋体" w:hAnsi="宋体" w:eastAsia="宋体" w:cs="仿宋"/>
          <w:b/>
          <w:bCs/>
          <w:sz w:val="28"/>
          <w:szCs w:val="28"/>
        </w:rPr>
        <w:t>教学</w:t>
      </w:r>
      <w:r>
        <w:rPr>
          <w:rFonts w:ascii="宋体" w:hAnsi="宋体" w:eastAsia="宋体" w:cs="仿宋"/>
          <w:b/>
          <w:bCs/>
          <w:sz w:val="28"/>
          <w:szCs w:val="28"/>
        </w:rPr>
        <w:t>目标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numPr>
          <w:ilvl w:val="0"/>
          <w:numId w:val="2"/>
        </w:numPr>
        <w:jc w:val="left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知识与技能目标：</w:t>
      </w:r>
    </w:p>
    <w:p>
      <w:pPr>
        <w:tabs>
          <w:tab w:val="left" w:pos="1210"/>
        </w:tabs>
        <w:spacing w:line="600" w:lineRule="exact"/>
        <w:ind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了解定向运动</w:t>
      </w:r>
    </w:p>
    <w:p>
      <w:pPr>
        <w:tabs>
          <w:tab w:val="left" w:pos="1210"/>
        </w:tabs>
        <w:spacing w:line="600" w:lineRule="exact"/>
        <w:ind w:firstLine="560" w:firstLineChars="200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了解稻类相关知识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方法与过程目标：</w:t>
      </w:r>
    </w:p>
    <w:p>
      <w:pPr>
        <w:numPr>
          <w:ilvl w:val="0"/>
          <w:numId w:val="0"/>
        </w:numPr>
        <w:ind w:leftChars="0" w:firstLine="560" w:firstLineChars="200"/>
        <w:jc w:val="left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任务引导</w:t>
      </w:r>
    </w:p>
    <w:p>
      <w:pPr>
        <w:numPr>
          <w:ilvl w:val="0"/>
          <w:numId w:val="0"/>
        </w:numPr>
        <w:ind w:leftChars="0" w:firstLine="560" w:firstLineChars="200"/>
        <w:jc w:val="left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探究合作</w:t>
      </w:r>
    </w:p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3、情感态度与价值观：</w:t>
      </w:r>
    </w:p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 xml:space="preserve">    通过《一个种子的旅行》——稻为主题，定向运动为媒介，普及农耕文化的实操理论与实践劳作，增强学生身体素质；培养学生团队协作意识；培养学生独立思考及解决困难的能力；培养学生在体力和智力受到压力的情况下做出迅速反应，果断决定的能力。</w:t>
      </w:r>
    </w:p>
    <w:p>
      <w:pPr>
        <w:numPr>
          <w:ilvl w:val="0"/>
          <w:numId w:val="3"/>
        </w:numPr>
        <w:tabs>
          <w:tab w:val="left" w:pos="1210"/>
        </w:tabs>
        <w:spacing w:line="600" w:lineRule="exact"/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</w:rPr>
        <w:t>课程时长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tabs>
          <w:tab w:val="left" w:pos="1210"/>
        </w:tabs>
        <w:spacing w:line="600" w:lineRule="exact"/>
        <w:ind w:firstLine="560" w:firstLineChars="200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60分钟</w:t>
      </w:r>
    </w:p>
    <w:p>
      <w:pPr>
        <w:tabs>
          <w:tab w:val="left" w:pos="1210"/>
        </w:tabs>
        <w:spacing w:line="600" w:lineRule="exact"/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仿宋"/>
          <w:b/>
          <w:bCs/>
          <w:sz w:val="28"/>
          <w:szCs w:val="28"/>
        </w:rPr>
        <w:t>实施地点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tabs>
          <w:tab w:val="left" w:pos="1210"/>
        </w:tabs>
        <w:spacing w:line="600" w:lineRule="exact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躬耕园</w:t>
      </w:r>
    </w:p>
    <w:p>
      <w:pPr>
        <w:numPr>
          <w:ilvl w:val="0"/>
          <w:numId w:val="0"/>
        </w:numPr>
        <w:tabs>
          <w:tab w:val="left" w:pos="1210"/>
        </w:tabs>
        <w:spacing w:line="600" w:lineRule="exact"/>
        <w:ind w:leftChars="0"/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仿宋"/>
          <w:b/>
          <w:bCs/>
          <w:sz w:val="28"/>
          <w:szCs w:val="28"/>
        </w:rPr>
        <w:t>接待规模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tabs>
          <w:tab w:val="left" w:pos="1210"/>
        </w:tabs>
        <w:spacing w:line="600" w:lineRule="exact"/>
        <w:ind w:leftChars="0"/>
        <w:rPr>
          <w:rFonts w:hint="default" w:ascii="宋体" w:hAnsi="宋体" w:eastAsia="宋体" w:cs="仿宋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50人</w:t>
      </w:r>
    </w:p>
    <w:p>
      <w:pPr>
        <w:numPr>
          <w:ilvl w:val="0"/>
          <w:numId w:val="4"/>
        </w:numPr>
        <w:tabs>
          <w:tab w:val="left" w:pos="1210"/>
        </w:tabs>
        <w:spacing w:line="600" w:lineRule="exact"/>
        <w:rPr>
          <w:rFonts w:hint="eastAsia" w:ascii="宋体" w:hAnsi="宋体" w:eastAsia="宋体" w:cs="仿宋"/>
          <w:b/>
          <w:bCs/>
          <w:sz w:val="28"/>
          <w:szCs w:val="28"/>
        </w:rPr>
      </w:pPr>
      <w:r>
        <w:rPr>
          <w:rFonts w:hint="eastAsia" w:ascii="宋体" w:hAnsi="宋体" w:eastAsia="宋体" w:cs="仿宋"/>
          <w:b/>
          <w:bCs/>
          <w:sz w:val="28"/>
          <w:szCs w:val="28"/>
        </w:rPr>
        <w:t>配备师资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tabs>
          <w:tab w:val="left" w:pos="1210"/>
        </w:tabs>
        <w:spacing w:line="600" w:lineRule="exact"/>
        <w:rPr>
          <w:rFonts w:hint="default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主讲导师一名，助教两名</w:t>
      </w:r>
    </w:p>
    <w:p>
      <w:pPr>
        <w:numPr>
          <w:ilvl w:val="0"/>
          <w:numId w:val="4"/>
        </w:numPr>
        <w:tabs>
          <w:tab w:val="left" w:pos="1210"/>
        </w:tabs>
        <w:spacing w:line="600" w:lineRule="exact"/>
        <w:ind w:left="0" w:leftChars="0" w:firstLine="0" w:firstLineChars="0"/>
        <w:rPr>
          <w:rFonts w:hint="eastAsia" w:ascii="宋体" w:hAnsi="宋体" w:eastAsia="宋体" w:cs="仿宋"/>
          <w:b/>
          <w:bCs/>
          <w:sz w:val="28"/>
          <w:szCs w:val="28"/>
        </w:rPr>
      </w:pPr>
      <w:r>
        <w:rPr>
          <w:rFonts w:hint="eastAsia" w:ascii="宋体" w:hAnsi="宋体" w:eastAsia="宋体" w:cs="仿宋"/>
          <w:b/>
          <w:bCs/>
          <w:sz w:val="28"/>
          <w:szCs w:val="28"/>
        </w:rPr>
        <w:t>教学准备</w:t>
      </w:r>
      <w:r>
        <w:rPr>
          <w:rFonts w:hint="eastAsia" w:ascii="宋体" w:hAnsi="宋体" w:eastAsia="宋体" w:cs="仿宋"/>
          <w:b/>
          <w:bCs/>
          <w:sz w:val="28"/>
          <w:szCs w:val="28"/>
          <w:lang w:eastAsia="zh-CN"/>
        </w:rPr>
        <w:t>：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00" w:lineRule="exact"/>
        <w:ind w:firstLine="560" w:firstLineChars="200"/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道具准备：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rtl w:val="0"/>
          <w:lang w:val="zh-TW" w:eastAsia="zh-CN"/>
        </w:rPr>
        <w:t>地图、指北针、指卡、点标旗、电子打卡器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rtl w:val="0"/>
          <w:lang w:val="en-US" w:eastAsia="zh-CN"/>
        </w:rPr>
        <w:t>、劳作用具</w:t>
      </w:r>
    </w:p>
    <w:p>
      <w:pPr>
        <w:numPr>
          <w:ilvl w:val="0"/>
          <w:numId w:val="0"/>
        </w:numPr>
        <w:tabs>
          <w:tab w:val="left" w:pos="1210"/>
        </w:tabs>
        <w:spacing w:line="600" w:lineRule="exact"/>
        <w:ind w:leftChars="0"/>
        <w:rPr>
          <w:rFonts w:hint="eastAsia" w:ascii="宋体" w:hAnsi="宋体" w:eastAsia="宋体" w:cs="仿宋"/>
          <w:b/>
          <w:bCs/>
          <w:sz w:val="28"/>
          <w:szCs w:val="28"/>
        </w:rPr>
      </w:pPr>
      <w:r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  <w:t>九、</w:t>
      </w:r>
      <w:r>
        <w:rPr>
          <w:rFonts w:hint="eastAsia" w:ascii="宋体" w:hAnsi="宋体" w:eastAsia="宋体" w:cs="仿宋"/>
          <w:b/>
          <w:bCs/>
          <w:sz w:val="28"/>
          <w:szCs w:val="28"/>
        </w:rPr>
        <w:t>教学流程：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情境导入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观看PPT、视频、图片（了解一颗种子的起源成长；通过教师讲解，让学生认识一颗种子的旅行并非真正意义上的种子旅行，而是化身一颗种子，如何才能成长为参天大树，经历暴风雪雨而依然屹立不倒。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学生分组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1、2-6人一组，选出组长。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2、组长职能培训：维持纪律、保持专注、合作学习、活动组织、分工明确、交流分享、自评互评。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课程引入：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学习《一个种子的旅行》——稻；通过学习地图，掌握地图及指北针的使用方法；小组分组，领取地图、线路、任务点。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教学过程：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通过《一个种子的旅行》——稻任务点，了解农耕文化；通过任务点，学习农耕文化后，种子的成长变化；通过任务点，完成农耕播种，成长的实际操作。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教学评价：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仿宋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仿宋"/>
          <w:b w:val="0"/>
          <w:bCs w:val="0"/>
          <w:sz w:val="28"/>
          <w:szCs w:val="28"/>
          <w:lang w:val="en-US" w:eastAsia="zh-CN"/>
        </w:rPr>
        <w:t>培养学生良好的吃苦耐劳能力、计划性、空间感、方向感。通过压力下“找不到”的挫折感和 “找到后”的成就感，让学生了解并体验“ 努力/放弃”—— 积极/消极的心理力学原理，启发“挑战自我，创造未来”的成功心理素质。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十、安全防控</w:t>
      </w:r>
    </w:p>
    <w:p>
      <w:pPr>
        <w:numPr>
          <w:ilvl w:val="0"/>
          <w:numId w:val="0"/>
        </w:numPr>
        <w:ind w:firstLine="300" w:firstLineChars="10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  1、遵守课堂纪律，服从老师、组长的安排、指导和管理，不得打闹喧哗，有问题及时向老师报告。</w:t>
      </w:r>
    </w:p>
    <w:p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2、禁止携带零食进入教室，不要随地吐痰、乱丢垃圾，下课收拾后再离开教室，保持功能室整洁干净。</w:t>
      </w:r>
    </w:p>
    <w:p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、严格按照要求操作，爱护电子产品、仪器设备、桌椅等公共财物，严禁随意拨弄、拆卸、张贴、刻画，若因人为原因造成设备损坏或遗失，由学生按照设备原价进行赔偿，并根据学校相关管理制度对违纪学生进行处理。</w:t>
      </w:r>
    </w:p>
    <w:p>
      <w:pPr>
        <w:numPr>
          <w:ilvl w:val="0"/>
          <w:numId w:val="0"/>
        </w:numPr>
        <w:ind w:firstLine="600" w:firstLineChars="200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4、户外实操应急，急救、互救、时必须组织有序，组长负责集合整队，清点人数和任务分工。成员要听从安排，规范操作，严禁擅自行动。</w:t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教学评价</w:t>
      </w:r>
    </w:p>
    <w:tbl>
      <w:tblPr>
        <w:tblStyle w:val="3"/>
        <w:tblW w:w="8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5025"/>
        <w:gridCol w:w="1125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评价项目</w:t>
            </w:r>
          </w:p>
        </w:tc>
        <w:tc>
          <w:tcPr>
            <w:tcW w:w="50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关键评估点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分数</w:t>
            </w:r>
          </w:p>
        </w:tc>
        <w:tc>
          <w:tcPr>
            <w:tcW w:w="103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课堂纪律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能够做到守时，没有无故缺勤、迟到等现象。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35" w:type="dxa"/>
            <w:vMerge w:val="restart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团队意识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能够自觉服从辅导员及老师管理，听从指挥，维护大局。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35" w:type="dxa"/>
            <w:vMerge w:val="continue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学习达成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研学手册的完成情况（完成率）、完成质量（认真书写、正确率）。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35" w:type="dxa"/>
            <w:vMerge w:val="continue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学习效果表达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分享是否新颖、有创意，小组讨论及分享语言表达是否清晰、流畅，有无自己见解。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35" w:type="dxa"/>
            <w:vMerge w:val="continue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各任务点打卡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各任务点打卡是否按照规则打卡，是否准确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1035" w:type="dxa"/>
            <w:vMerge w:val="continue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39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小组赛完成时间</w:t>
            </w:r>
          </w:p>
        </w:tc>
        <w:tc>
          <w:tcPr>
            <w:tcW w:w="50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小组完赛成绩是否有效</w:t>
            </w:r>
          </w:p>
        </w:tc>
        <w:tc>
          <w:tcPr>
            <w:tcW w:w="1125" w:type="dxa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35" w:type="dxa"/>
            <w:vMerge w:val="continue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8724" w:type="dxa"/>
            <w:gridSpan w:val="4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1210"/>
              </w:tabs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等级说明：90分及90分以上为A等；70-90分为B等；60-70分为C等。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18A3F1"/>
    <w:multiLevelType w:val="singleLevel"/>
    <w:tmpl w:val="C618A3F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6DCAC33"/>
    <w:multiLevelType w:val="singleLevel"/>
    <w:tmpl w:val="16DCAC33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631797A"/>
    <w:multiLevelType w:val="singleLevel"/>
    <w:tmpl w:val="2631797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51460FE8"/>
    <w:multiLevelType w:val="singleLevel"/>
    <w:tmpl w:val="51460FE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659AA"/>
    <w:rsid w:val="063B5C1A"/>
    <w:rsid w:val="4548468B"/>
    <w:rsid w:val="48BB1814"/>
    <w:rsid w:val="525E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2020-10-05T16:02:00Z</dcterms:created>
  <dc:creator>HP</dc:creator>
  <cp:lastModifiedBy>漫步人生</cp:lastModifiedBy>
  <dcterms:modified xsi:type="dcterms:W3CDTF">2020-10-10T03:23:18Z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