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18"/>
          <w:szCs w:val="21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  <w:t>柑橘综合精加工科技生态小公民</w:t>
      </w:r>
    </w:p>
    <w:p>
      <w:pPr>
        <w:ind w:firstLine="2800" w:firstLineChars="10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>——三峡国家柑橘公园研学实践教育基地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课程名称</w:t>
      </w:r>
    </w:p>
    <w:p>
      <w:pPr>
        <w:numPr>
          <w:ilvl w:val="0"/>
          <w:numId w:val="0"/>
        </w:num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>我是橘醋推销员营销策划数第一</w:t>
      </w:r>
    </w:p>
    <w:p>
      <w:pPr>
        <w:numPr>
          <w:ilvl w:val="0"/>
          <w:numId w:val="1"/>
        </w:numPr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知晓土老憨橘醋的基础卖点；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知晓土老憨橘醋的包装设计特色；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知晓营销策划的基本方法。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研学目标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了解土老憨在柑橘精深加工方面，取得了国家多个“第一”和“唯一”，已发展成为全国最强的柑橘产业科技创新基地和最大的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橘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醋酿造基地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了解土老憨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开发了全国唯一用橘汁酿造的橘醋原浆系列、橘醋健康饮品系列、橘子醋调味品系列，和陈皮酱油系列、陈皮料酒系列、陈皮豆豉系列，以及柑橘纤维等深加工产品，形成了基于柑橘产业、符合大健康食养理念的新型产品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了解营销策划的基本方法，做一个营销策划方案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研学时长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180分钟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推荐学段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高中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研学地点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土老憨科技园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配备师资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以班级分组(约50人)，每组一名研学导师、一名助教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研学用具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0" w:firstLineChars="0"/>
        <w:textAlignment w:val="auto"/>
        <w:outlineLvl w:val="9"/>
        <w:rPr>
          <w:rFonts w:hint="default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土老憨系列产品实物样品、营销案例、纸笔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研学流程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知识导入：大家在淘宝、抖音上购买过自己需要的用品吗？我们来玩一个角色游戏，请大家现在成为一个销售员，想一想怎样把橘醋销售出去吧。（30分钟）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实践探究：了解土老憨系列产品的基本情况，土老憨的营销案例，营销策划的基本步骤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（30分钟）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成果展示：分组按任务提示做一份营销计划书。（90分钟）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效果评价：对研学内容掌握的程度、好坏进行评价。（30分钟）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研学评价</w:t>
      </w:r>
    </w:p>
    <w:p>
      <w:pPr>
        <w:numPr>
          <w:ilvl w:val="0"/>
          <w:numId w:val="0"/>
        </w:numPr>
        <w:ind w:firstLine="56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>按照《宜昌市研学旅行评价试行办法》规定，给予ABCD分档评价。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77470</wp:posOffset>
            </wp:positionV>
            <wp:extent cx="2520315" cy="1417320"/>
            <wp:effectExtent l="9525" t="9525" r="10160" b="20955"/>
            <wp:wrapNone/>
            <wp:docPr id="5" name="图片 5" descr="附件-05土老憨集团介绍 V200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附件-05土老憨集团介绍 V2007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417320"/>
                    </a:xfrm>
                    <a:prstGeom prst="round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2520315" cy="1417320"/>
            <wp:effectExtent l="9525" t="9525" r="10160" b="20955"/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417320"/>
                    </a:xfrm>
                    <a:prstGeom prst="round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E9E301B-DF50-4005-9AC9-28D1EC65B744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A08281E0-DD50-4B3E-904D-439A65FBC4D8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5C02EE24-BE8C-4E20-A7DB-AE82F869D1F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8595" cy="96520"/>
          <wp:effectExtent l="0" t="0" r="1905" b="5080"/>
          <wp:docPr id="2" name="图片 2" descr="公文文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文文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8595" cy="96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2880" cy="546100"/>
          <wp:effectExtent l="0" t="0" r="7620" b="0"/>
          <wp:docPr id="1" name="图片 1" descr="公文文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文文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288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A1D6B8"/>
    <w:multiLevelType w:val="singleLevel"/>
    <w:tmpl w:val="8CA1D6B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69647A"/>
    <w:multiLevelType w:val="singleLevel"/>
    <w:tmpl w:val="CF6964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A8FFA2F"/>
    <w:multiLevelType w:val="singleLevel"/>
    <w:tmpl w:val="EA8FFA2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FC10A29"/>
    <w:multiLevelType w:val="singleLevel"/>
    <w:tmpl w:val="4FC10A2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736B"/>
    <w:rsid w:val="05DF26D3"/>
    <w:rsid w:val="06FA272D"/>
    <w:rsid w:val="0E397C7F"/>
    <w:rsid w:val="0EB6404A"/>
    <w:rsid w:val="12832314"/>
    <w:rsid w:val="12DC48F1"/>
    <w:rsid w:val="1744274D"/>
    <w:rsid w:val="1B4E0BC4"/>
    <w:rsid w:val="1CAA4AEE"/>
    <w:rsid w:val="20EA6B9D"/>
    <w:rsid w:val="21F5646A"/>
    <w:rsid w:val="249D2B03"/>
    <w:rsid w:val="26C9623C"/>
    <w:rsid w:val="2C216320"/>
    <w:rsid w:val="2C9046DC"/>
    <w:rsid w:val="2EB67BF1"/>
    <w:rsid w:val="2F5F411C"/>
    <w:rsid w:val="2FE4238E"/>
    <w:rsid w:val="2FF005C1"/>
    <w:rsid w:val="32250F7C"/>
    <w:rsid w:val="34A87A00"/>
    <w:rsid w:val="3B3556D2"/>
    <w:rsid w:val="3B8A57D9"/>
    <w:rsid w:val="3E2D7AB7"/>
    <w:rsid w:val="41C12BBB"/>
    <w:rsid w:val="44015F97"/>
    <w:rsid w:val="46544881"/>
    <w:rsid w:val="466D3884"/>
    <w:rsid w:val="47A52964"/>
    <w:rsid w:val="4B7F680C"/>
    <w:rsid w:val="4FB8297D"/>
    <w:rsid w:val="520A2221"/>
    <w:rsid w:val="55D15FAC"/>
    <w:rsid w:val="55F2032F"/>
    <w:rsid w:val="56055C07"/>
    <w:rsid w:val="5D1C73EE"/>
    <w:rsid w:val="5F524A76"/>
    <w:rsid w:val="60334F43"/>
    <w:rsid w:val="650A4582"/>
    <w:rsid w:val="658D514D"/>
    <w:rsid w:val="6AFA6746"/>
    <w:rsid w:val="6D0E2A7A"/>
    <w:rsid w:val="6F3F4FED"/>
    <w:rsid w:val="70061506"/>
    <w:rsid w:val="70F83A10"/>
    <w:rsid w:val="74CD7C57"/>
    <w:rsid w:val="75CC2CB6"/>
    <w:rsid w:val="796E1273"/>
    <w:rsid w:val="7AAA3A23"/>
    <w:rsid w:val="7C80022A"/>
    <w:rsid w:val="7E424907"/>
    <w:rsid w:val="7E9677A3"/>
    <w:rsid w:val="7FB5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2020-08-18T01:29:00Z</dcterms:created>
  <dc:creator>Valia</dc:creator>
  <cp:lastModifiedBy>曾旭</cp:lastModifiedBy>
  <dcterms:modified xsi:type="dcterms:W3CDTF">2020-09-18T03:30:18Z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