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仿宋" w:hAnsi="仿宋" w:eastAsia="仿宋"/>
          <w:sz w:val="28"/>
          <w:szCs w:val="28"/>
          <w:lang w:val="en-US"/>
        </w:rPr>
      </w:pPr>
      <w:r>
        <w:rPr>
          <w:rFonts w:hint="eastAsia" w:ascii="仿宋" w:hAnsi="仿宋" w:eastAsia="仿宋"/>
          <w:b/>
          <w:sz w:val="28"/>
          <w:szCs w:val="28"/>
          <w:lang w:val="en-US" w:eastAsia="zh-CN"/>
        </w:rPr>
        <w:t>巴人兴衰因盐利 留下图语万古迷</w:t>
      </w:r>
    </w:p>
    <w:p>
      <w:pPr>
        <w:jc w:val="center"/>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三峡人家研学</w:t>
      </w:r>
      <w:r>
        <w:rPr>
          <w:rFonts w:ascii="仿宋" w:hAnsi="仿宋" w:eastAsia="仿宋"/>
          <w:sz w:val="28"/>
          <w:szCs w:val="28"/>
        </w:rPr>
        <w:t>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sz w:val="28"/>
          <w:szCs w:val="28"/>
          <w:lang w:val="en-US" w:eastAsia="zh-CN"/>
        </w:rPr>
      </w:pPr>
      <w:r>
        <w:rPr>
          <w:rFonts w:ascii="仿宋" w:hAnsi="仿宋" w:eastAsia="仿宋"/>
          <w:b/>
          <w:sz w:val="28"/>
          <w:szCs w:val="28"/>
        </w:rPr>
        <w:t>一</w:t>
      </w:r>
      <w:r>
        <w:rPr>
          <w:rFonts w:hint="eastAsia" w:ascii="仿宋" w:hAnsi="仿宋" w:eastAsia="仿宋"/>
          <w:b/>
          <w:sz w:val="28"/>
          <w:szCs w:val="28"/>
        </w:rPr>
        <w:t>、</w:t>
      </w:r>
      <w:r>
        <w:rPr>
          <w:rFonts w:ascii="仿宋" w:hAnsi="仿宋" w:eastAsia="仿宋"/>
          <w:b/>
          <w:sz w:val="28"/>
          <w:szCs w:val="28"/>
        </w:rPr>
        <w:t>课程名称</w:t>
      </w:r>
      <w:r>
        <w:rPr>
          <w:rFonts w:hint="eastAsia" w:ascii="仿宋" w:hAnsi="仿宋" w:eastAsia="仿宋"/>
          <w:b/>
          <w:sz w:val="28"/>
          <w:szCs w:val="28"/>
        </w:rPr>
        <w:t>：</w:t>
      </w:r>
      <w:r>
        <w:rPr>
          <w:rFonts w:hint="eastAsia" w:ascii="仿宋" w:hAnsi="仿宋" w:eastAsia="仿宋"/>
          <w:b w:val="0"/>
          <w:bCs/>
          <w:sz w:val="28"/>
          <w:szCs w:val="28"/>
        </w:rPr>
        <w:t>巴人兴衰因盐利 留下图文万古迷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ascii="仿宋" w:hAnsi="仿宋" w:eastAsia="仿宋"/>
          <w:b/>
          <w:sz w:val="28"/>
          <w:szCs w:val="28"/>
        </w:rPr>
        <w:t>二</w:t>
      </w:r>
      <w:r>
        <w:rPr>
          <w:rFonts w:hint="eastAsia" w:ascii="仿宋" w:hAnsi="仿宋" w:eastAsia="仿宋"/>
          <w:b/>
          <w:sz w:val="28"/>
          <w:szCs w:val="28"/>
        </w:rPr>
        <w:t>、</w:t>
      </w:r>
      <w:r>
        <w:rPr>
          <w:rFonts w:ascii="仿宋" w:hAnsi="仿宋" w:eastAsia="仿宋"/>
          <w:b/>
          <w:sz w:val="28"/>
          <w:szCs w:val="28"/>
        </w:rPr>
        <w:t>课程内容</w:t>
      </w:r>
      <w:r>
        <w:rPr>
          <w:rFonts w:hint="eastAsia" w:ascii="仿宋" w:hAnsi="仿宋" w:eastAsia="仿宋"/>
          <w:b/>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巴族是世界上最神秘的古代民族之一，最早记载巴人的古文献是《山海经·海内经》：“西南有巴国，大皞[hào]生咸鸟，咸鸟生乘厘，乘厘生后照，后照是始为巴人”。巴人以白虎为图腾，骁勇善战，能歌善舞，在随周灭商的战役中，留下前歌后舞的美名。巴人因占据了盐泉之利，通过制盐通商，使自己的部族逐渐兴旺。在春秋时期扫荡周边小国，在战国时期巴国国力达到巅峰，其疆域包括今天的整个重庆市，湖北西部，湖南局部，陕西南部，贵州北部等。但巴国地处楚国和秦国两个大国之间，纷争不断，国势日渐衰微，最终被秦国所灭，巴族也逐渐消失在历史长河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三峡地区也是巴族活动的主要区域，域内出土了很多巴族遗址。三峡人家根据历史描述，复制了巴王宫等建筑，让大家重回巴族鼎盛时期。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重点：了解巴族的建筑特点、用具、防御设施、风俗特色、符号印记。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b w:val="0"/>
          <w:bCs/>
          <w:sz w:val="28"/>
          <w:szCs w:val="28"/>
          <w:lang w:val="en-US" w:eastAsia="zh-CN"/>
        </w:rPr>
      </w:pPr>
      <w:r>
        <w:rPr>
          <w:rFonts w:hint="eastAsia" w:ascii="仿宋" w:hAnsi="仿宋" w:eastAsia="仿宋"/>
          <w:b w:val="0"/>
          <w:bCs/>
          <w:sz w:val="28"/>
          <w:szCs w:val="28"/>
          <w:lang w:val="en-US" w:eastAsia="zh-CN"/>
        </w:rPr>
        <w:t>难点：探讨巴蜀符号的含义。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ascii="仿宋" w:hAnsi="仿宋" w:eastAsia="仿宋"/>
          <w:b/>
          <w:sz w:val="28"/>
          <w:szCs w:val="28"/>
        </w:rPr>
        <w:t>课程目标</w:t>
      </w:r>
      <w:r>
        <w:rPr>
          <w:rFonts w:hint="eastAsia" w:ascii="仿宋" w:hAnsi="仿宋" w:eastAsia="仿宋"/>
          <w:b/>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价值认同：</w:t>
      </w:r>
      <w:r>
        <w:rPr>
          <w:rFonts w:hint="eastAsia" w:ascii="仿宋" w:hAnsi="仿宋" w:eastAsia="仿宋"/>
          <w:b w:val="0"/>
          <w:bCs/>
          <w:sz w:val="28"/>
          <w:szCs w:val="28"/>
          <w:lang w:val="en-US" w:eastAsia="zh-CN"/>
        </w:rPr>
        <w:t>巴族是中华古老民族，始于商朝，兴于战国初期，亡于秦国对巴国的战争。巴国没了，巴族文化却没有中断，随着和周边民族的交流，巴族的后裔演化成了如今的土家族。如今土家族仍然生活在以前巴族活跃的区域，同样天生乐观，能歌善舞。中华民族自古一脉相承，生生不息。</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责任担当：</w:t>
      </w:r>
      <w:r>
        <w:rPr>
          <w:rFonts w:hint="eastAsia" w:ascii="仿宋" w:hAnsi="仿宋" w:eastAsia="仿宋"/>
          <w:b w:val="0"/>
          <w:bCs/>
          <w:sz w:val="28"/>
          <w:szCs w:val="28"/>
          <w:lang w:val="en-US" w:eastAsia="zh-CN"/>
        </w:rPr>
        <w:t>中华大地文化璀璨，又汇聚交融，悠久的历史造就了无数的未解之谜深深吸引着我们。我们要思考、探索，还原我们祖先的文化，不能让他彻底遗忘在历史中，这是每一个中华儿女的责任。</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问题解决：</w:t>
      </w:r>
      <w:r>
        <w:rPr>
          <w:rFonts w:hint="eastAsia" w:ascii="仿宋" w:hAnsi="仿宋" w:eastAsia="仿宋"/>
          <w:b w:val="0"/>
          <w:bCs/>
          <w:sz w:val="28"/>
          <w:szCs w:val="28"/>
          <w:lang w:val="en-US" w:eastAsia="zh-CN"/>
        </w:rPr>
        <w:t>巴族拥有怎样的历史？他们的人民是怎样生活、战斗的？他们的后裔土家族继承和发扬了巴族哪些文化遗产？巴蜀符号是花纹？是族纹？是文字？中国学者各抒己见，未下最终定论。同学们从自己的认知出发，开拓思维，提出自己的看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sz w:val="28"/>
          <w:szCs w:val="28"/>
          <w:lang w:eastAsia="zh-CN"/>
        </w:rPr>
      </w:pPr>
      <w:r>
        <w:rPr>
          <w:rFonts w:hint="eastAsia" w:ascii="仿宋" w:hAnsi="仿宋" w:eastAsia="仿宋"/>
          <w:b w:val="0"/>
          <w:bCs/>
          <w:sz w:val="28"/>
          <w:szCs w:val="28"/>
          <w:lang w:eastAsia="zh-CN"/>
        </w:rPr>
        <w:t>创意物化：</w:t>
      </w:r>
      <w:r>
        <w:rPr>
          <w:rFonts w:hint="eastAsia" w:ascii="仿宋" w:hAnsi="仿宋" w:eastAsia="仿宋"/>
          <w:b w:val="0"/>
          <w:bCs/>
          <w:sz w:val="28"/>
          <w:szCs w:val="28"/>
          <w:lang w:val="en-US" w:eastAsia="zh-CN"/>
        </w:rPr>
        <w:t>学生们试着设计代表自己的徽纹；自己创造象形文字，并用象形文字写一段话，附现代汉语做翻译。</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sz w:val="28"/>
          <w:szCs w:val="28"/>
        </w:rPr>
      </w:pPr>
      <w:r>
        <w:rPr>
          <w:rFonts w:hint="eastAsia" w:ascii="仿宋" w:hAnsi="仿宋" w:eastAsia="仿宋"/>
          <w:b/>
          <w:sz w:val="28"/>
          <w:szCs w:val="28"/>
        </w:rPr>
        <w:t>四、课程时长：</w:t>
      </w:r>
      <w:r>
        <w:rPr>
          <w:rFonts w:hint="eastAsia" w:ascii="仿宋" w:hAnsi="仿宋" w:eastAsia="仿宋"/>
          <w:b w:val="0"/>
          <w:bCs/>
          <w:sz w:val="28"/>
          <w:szCs w:val="28"/>
        </w:rPr>
        <w:t>180分钟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val="0"/>
          <w:bCs/>
          <w:sz w:val="28"/>
          <w:szCs w:val="28"/>
          <w:lang w:val="en-US" w:eastAsia="zh-CN"/>
        </w:rPr>
      </w:pPr>
      <w:r>
        <w:rPr>
          <w:rFonts w:hint="eastAsia" w:ascii="仿宋" w:hAnsi="仿宋" w:eastAsia="仿宋"/>
          <w:b/>
          <w:sz w:val="28"/>
          <w:szCs w:val="28"/>
        </w:rPr>
        <w:t>五、适合学段：</w:t>
      </w:r>
      <w:r>
        <w:rPr>
          <w:rFonts w:hint="eastAsia" w:ascii="仿宋" w:hAnsi="仿宋" w:eastAsia="仿宋"/>
          <w:b w:val="0"/>
          <w:bCs/>
          <w:sz w:val="28"/>
          <w:szCs w:val="28"/>
          <w:lang w:val="en-US" w:eastAsia="zh-CN"/>
        </w:rPr>
        <w:t>初、高中段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b w:val="0"/>
          <w:bCs/>
          <w:sz w:val="28"/>
          <w:szCs w:val="28"/>
          <w:lang w:val="en-US" w:eastAsia="zh-CN"/>
        </w:rPr>
      </w:pPr>
      <w:bookmarkStart w:id="0" w:name="_GoBack"/>
      <w:r>
        <w:rPr>
          <w:rFonts w:hint="default" w:ascii="仿宋" w:hAnsi="仿宋" w:eastAsia="仿宋"/>
          <w:b w:val="0"/>
          <w:bCs/>
          <w:sz w:val="28"/>
          <w:szCs w:val="28"/>
          <w:lang w:val="en-US" w:eastAsia="zh-CN"/>
        </w:rPr>
        <w:drawing>
          <wp:inline distT="0" distB="0" distL="114300" distR="114300">
            <wp:extent cx="5255895" cy="3503930"/>
            <wp:effectExtent l="0" t="0" r="1905" b="1270"/>
            <wp:docPr id="2" name="图片 2" descr="巴王宫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巴王宫内"/>
                    <pic:cNvPicPr>
                      <a:picLocks noChangeAspect="1"/>
                    </pic:cNvPicPr>
                  </pic:nvPicPr>
                  <pic:blipFill>
                    <a:blip r:embed="rId4"/>
                    <a:stretch>
                      <a:fillRect/>
                    </a:stretch>
                  </pic:blipFill>
                  <pic:spPr>
                    <a:xfrm>
                      <a:off x="0" y="0"/>
                      <a:ext cx="5255895" cy="3503930"/>
                    </a:xfrm>
                    <a:prstGeom prst="rect">
                      <a:avLst/>
                    </a:prstGeom>
                  </pic:spPr>
                </pic:pic>
              </a:graphicData>
            </a:graphic>
          </wp:inline>
        </w:drawing>
      </w:r>
      <w:bookmarkEnd w:id="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sz w:val="28"/>
          <w:szCs w:val="28"/>
          <w:lang w:val="en-US" w:eastAsia="zh-CN"/>
        </w:rPr>
      </w:pPr>
      <w:r>
        <w:rPr>
          <w:rFonts w:hint="eastAsia" w:ascii="仿宋" w:hAnsi="仿宋" w:eastAsia="仿宋"/>
          <w:b/>
          <w:sz w:val="28"/>
          <w:szCs w:val="28"/>
        </w:rPr>
        <w:t>六、研学地点：</w:t>
      </w:r>
      <w:r>
        <w:rPr>
          <w:rFonts w:hint="eastAsia" w:ascii="仿宋" w:hAnsi="仿宋" w:eastAsia="仿宋"/>
          <w:b w:val="0"/>
          <w:bCs/>
          <w:sz w:val="28"/>
          <w:szCs w:val="28"/>
          <w:lang w:val="en-US" w:eastAsia="zh-CN"/>
        </w:rPr>
        <w:t>巴王宫</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val="0"/>
          <w:bCs/>
          <w:sz w:val="28"/>
          <w:szCs w:val="28"/>
        </w:rPr>
      </w:pPr>
      <w:r>
        <w:rPr>
          <w:rFonts w:hint="eastAsia" w:ascii="仿宋" w:hAnsi="仿宋" w:eastAsia="仿宋"/>
          <w:b/>
          <w:sz w:val="28"/>
          <w:szCs w:val="28"/>
        </w:rPr>
        <w:t>七、配备师资：</w:t>
      </w:r>
      <w:r>
        <w:rPr>
          <w:rFonts w:hint="eastAsia" w:ascii="仿宋" w:hAnsi="仿宋" w:eastAsia="仿宋"/>
          <w:b w:val="0"/>
          <w:bCs/>
          <w:sz w:val="28"/>
          <w:szCs w:val="28"/>
        </w:rPr>
        <w:t>每班配置1-2名研学导师、1名安全员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b w:val="0"/>
          <w:bCs/>
          <w:sz w:val="28"/>
          <w:szCs w:val="28"/>
          <w:lang w:val="en-US" w:eastAsia="zh-CN"/>
        </w:rPr>
      </w:pPr>
      <w:r>
        <w:rPr>
          <w:rFonts w:hint="eastAsia" w:ascii="仿宋" w:hAnsi="仿宋" w:eastAsia="仿宋"/>
          <w:b/>
          <w:sz w:val="28"/>
          <w:szCs w:val="28"/>
          <w:lang w:val="en-US" w:eastAsia="zh-CN"/>
        </w:rPr>
        <w:t>八、接待规模：</w:t>
      </w:r>
      <w:r>
        <w:rPr>
          <w:rFonts w:hint="eastAsia" w:ascii="仿宋" w:hAnsi="仿宋" w:eastAsia="仿宋"/>
          <w:b w:val="0"/>
          <w:bCs/>
          <w:sz w:val="28"/>
          <w:szCs w:val="28"/>
          <w:lang w:val="en-US" w:eastAsia="zh-CN"/>
        </w:rPr>
        <w:t>400人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sz w:val="28"/>
          <w:szCs w:val="28"/>
          <w:lang w:val="en-US" w:eastAsia="zh-CN"/>
        </w:rPr>
      </w:pPr>
      <w:r>
        <w:rPr>
          <w:rFonts w:hint="eastAsia" w:ascii="仿宋" w:hAnsi="仿宋" w:eastAsia="仿宋"/>
          <w:b/>
          <w:sz w:val="28"/>
          <w:szCs w:val="28"/>
          <w:lang w:val="en-US" w:eastAsia="zh-CN"/>
        </w:rPr>
        <w:t>九</w:t>
      </w:r>
      <w:r>
        <w:rPr>
          <w:rFonts w:hint="eastAsia" w:ascii="仿宋" w:hAnsi="仿宋" w:eastAsia="仿宋"/>
          <w:b/>
          <w:sz w:val="28"/>
          <w:szCs w:val="28"/>
        </w:rPr>
        <w:t>、研学用具：</w:t>
      </w:r>
      <w:r>
        <w:rPr>
          <w:rFonts w:hint="eastAsia" w:ascii="仿宋" w:hAnsi="仿宋" w:eastAsia="仿宋"/>
          <w:b w:val="0"/>
          <w:bCs/>
          <w:sz w:val="28"/>
          <w:szCs w:val="28"/>
          <w:lang w:val="en-US" w:eastAsia="zh-CN"/>
        </w:rPr>
        <w:t>笔、纸（研学手册）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hint="eastAsia" w:ascii="仿宋" w:hAnsi="仿宋" w:eastAsia="仿宋"/>
          <w:b/>
          <w:sz w:val="28"/>
          <w:szCs w:val="28"/>
          <w:lang w:val="en-US" w:eastAsia="zh-CN"/>
        </w:rPr>
        <w:t>十</w:t>
      </w:r>
      <w:r>
        <w:rPr>
          <w:rFonts w:hint="eastAsia" w:ascii="仿宋" w:hAnsi="仿宋" w:eastAsia="仿宋"/>
          <w:b/>
          <w:sz w:val="28"/>
          <w:szCs w:val="28"/>
        </w:rPr>
        <w:t>、研学流程：</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b w:val="0"/>
          <w:bCs w:val="0"/>
          <w:sz w:val="28"/>
          <w:szCs w:val="28"/>
        </w:rPr>
      </w:pPr>
      <w:r>
        <w:rPr>
          <w:rFonts w:hint="eastAsia" w:ascii="仿宋" w:hAnsi="仿宋" w:eastAsia="仿宋"/>
          <w:b w:val="0"/>
          <w:bCs w:val="0"/>
          <w:sz w:val="28"/>
          <w:szCs w:val="28"/>
          <w:lang w:val="en-US" w:eastAsia="zh-CN"/>
        </w:rPr>
        <w:t>1、</w:t>
      </w:r>
      <w:r>
        <w:rPr>
          <w:rFonts w:hint="eastAsia" w:ascii="仿宋" w:hAnsi="仿宋" w:eastAsia="仿宋"/>
          <w:b w:val="0"/>
          <w:bCs w:val="0"/>
          <w:sz w:val="28"/>
          <w:szCs w:val="28"/>
        </w:rPr>
        <w:t>课程知识点导入：</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20分钟</w:t>
      </w:r>
      <w:r>
        <w:rPr>
          <w:rFonts w:hint="eastAsia" w:ascii="仿宋" w:hAnsi="仿宋" w:eastAsia="仿宋"/>
          <w:sz w:val="28"/>
          <w:szCs w:val="28"/>
          <w:lang w:eastAsia="zh-CN"/>
        </w:rPr>
        <w:t>）大概四千多年前，巴人在湖北、重庆、四川境内就开创出了巴族的古老文明。巴人崇拜白虎，骁勇善战，在控制了三峡地区的盐泉资源后，从深山险谷中通过千里栈道与外界通商，创造了巴国的辉煌时代。然而，两千多年前，这个古老的族群又因为失去对盐泉的控制而神秘消失，在三峡地区留下了独特的巴文化。</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lang w:eastAsia="zh-CN"/>
        </w:rPr>
        <w:t>本堂课程，将跟随研学导师的脚步走进巴王宫，了解巴族的建筑风格、空间布局、房间陈设、生产生活用具、武备防御设施等，探秘巴人在这里繁衍生息、强盛与衰落的发展历程。</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rPr>
      </w:pPr>
      <w:r>
        <w:rPr>
          <w:rFonts w:hint="eastAsia" w:ascii="仿宋" w:hAnsi="仿宋" w:eastAsia="仿宋"/>
          <w:b w:val="0"/>
          <w:bCs w:val="0"/>
          <w:sz w:val="28"/>
          <w:szCs w:val="28"/>
          <w:lang w:val="en-US" w:eastAsia="zh-CN"/>
        </w:rPr>
        <w:t>2、</w:t>
      </w:r>
      <w:r>
        <w:rPr>
          <w:rFonts w:hint="eastAsia" w:ascii="仿宋" w:hAnsi="仿宋" w:eastAsia="仿宋"/>
          <w:b w:val="0"/>
          <w:bCs w:val="0"/>
          <w:sz w:val="28"/>
          <w:szCs w:val="28"/>
        </w:rPr>
        <w:t>研学任务实践探究：</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（20分钟）参观盐泉，了解巴族占领了盐泉，通过制盐贩盐积累了大量财富，国力达到顶峰、文化也达到了新的高度。周边国家称此类盐为“盐巴”，即巴国出产的盐。这一叫法延续至今。</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盐巴为什么这么重要，周边国家不惜翻山越岭，重金购买巴国的盐？因为盐是人生命不可或缺的物质，盐的化学式是氯化钠，其中的钠离子与人体的肌肉收缩和心脏跳动有关，缺盐人就会非常虚弱，使不上力气。盐还能调节人体水平衡，如果缺盐，人体会大量失水，破坏我们的身体健康。当然，盐也不能过度食用，吃盐过多会引起皮肤衰老、骨质疏松、高血压、心脏血管疾病等。</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20分钟</w:t>
      </w: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参观巴王宫，</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asciiTheme="minorEastAsia" w:hAnsiTheme="minorEastAsia" w:eastAsiaTheme="minorEastAsia" w:cstheme="minorEastAsia"/>
          <w:b/>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drawing>
          <wp:inline distT="0" distB="0" distL="114300" distR="114300">
            <wp:extent cx="5255895" cy="3233420"/>
            <wp:effectExtent l="0" t="0" r="1905" b="5080"/>
            <wp:docPr id="19" name="图片 19" descr="IMG_20191106_13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0191106_133809"/>
                    <pic:cNvPicPr>
                      <a:picLocks noChangeAspect="1"/>
                    </pic:cNvPicPr>
                  </pic:nvPicPr>
                  <pic:blipFill>
                    <a:blip r:embed="rId5" cstate="print"/>
                    <a:srcRect/>
                    <a:stretch>
                      <a:fillRect/>
                    </a:stretch>
                  </pic:blipFill>
                  <pic:spPr>
                    <a:xfrm>
                      <a:off x="0" y="0"/>
                      <a:ext cx="5255895" cy="3233420"/>
                    </a:xfrm>
                    <a:prstGeom prst="rect">
                      <a:avLst/>
                    </a:prstGeom>
                  </pic:spPr>
                </pic:pic>
              </a:graphicData>
            </a:graphic>
          </wp:inline>
        </w:drawing>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巴王宫宫门外这尊制式独特的青铜器，叫做虎钮錞于。錞于顶部中央铸有虎形钮，虎形仰头张嘴，十分威猛。虎钮錞于是东周至汉代，巴族特有的军乐器，分为单虎和双虎，单虎比较普遍，双虎非常珍贵，这尊双虎钮錞于就是巴王宫的镇宫之宝。</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巴王宫分为三层，一楼有盔甲室，里面陈列的盔甲就是当年士兵作战时所穿的样式。</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正中央是白虎堂，白虎堂以前是巴王和大臣商谈议事的地方。在白虎堂的左侧是巴族宫室子弟学习文化的学堂，学堂旁边的祭祖堂是巴人祭祀祖先的地方。白虎堂前摆放的是一些巴人以前使用的兵器。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二楼摆放的是巴人以前所使用的抛石器，前面这三架是射箭用的车弩。</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三楼参观巴王的寝宫。首先我们看到的是巴王和他的妃子的房间，旁边这两间房是王子和公主居住的地方。</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drawing>
          <wp:inline distT="0" distB="0" distL="114300" distR="114300">
            <wp:extent cx="5269230" cy="4118610"/>
            <wp:effectExtent l="0" t="0" r="7620" b="15240"/>
            <wp:docPr id="1" name="图片 1" descr="巴人符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巴人符号"/>
                    <pic:cNvPicPr>
                      <a:picLocks noChangeAspect="1"/>
                    </pic:cNvPicPr>
                  </pic:nvPicPr>
                  <pic:blipFill>
                    <a:blip r:embed="rId6"/>
                    <a:stretch>
                      <a:fillRect/>
                    </a:stretch>
                  </pic:blipFill>
                  <pic:spPr>
                    <a:xfrm>
                      <a:off x="0" y="0"/>
                      <a:ext cx="5269230" cy="4118610"/>
                    </a:xfrm>
                    <a:prstGeom prst="rect">
                      <a:avLst/>
                    </a:prstGeom>
                  </pic:spPr>
                </pic:pic>
              </a:graphicData>
            </a:graphic>
          </wp:inline>
        </w:drawing>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20分钟</w:t>
      </w: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介绍巴蜀符号，</w:t>
      </w:r>
      <w:r>
        <w:rPr>
          <w:rFonts w:hint="default" w:ascii="仿宋" w:hAnsi="仿宋" w:eastAsia="仿宋"/>
          <w:b w:val="0"/>
          <w:bCs w:val="0"/>
          <w:sz w:val="28"/>
          <w:szCs w:val="28"/>
          <w:lang w:val="en-US" w:eastAsia="zh-CN"/>
        </w:rPr>
        <w:t>这里陈列的是一些图形与符号的组合，有学者称之为巴蜀图语，有学者称之为巴蜀文字，大多数学者还是采用中性的称谓，称之为巴蜀符号。巴蜀符号的出土地点包括四川、重庆、湖北、云南、贵州、鄂西等。巴蜀符号的时代，从春秋晚期到西汉时期，主要集中在战国时期。巴蜀符号出现的器物种类包括剑、矛、戈、钺、削、錞于、罍、箭镞、漆耳杯、勺子等。中国社会科学院考古研究所在835件巴蜀符号器物中，共统计出272种符号，2844个符号单字，并对巴蜀符号进行了分类。其中人形12种，动物形26种，植物形33种，器物形31种，建筑形20种，几何形150种，这些基本符号绝大多数是象形的。</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仿宋" w:hAnsi="仿宋" w:eastAsia="仿宋"/>
          <w:b w:val="0"/>
          <w:bCs w:val="0"/>
          <w:sz w:val="28"/>
          <w:szCs w:val="28"/>
          <w:lang w:val="en-US" w:eastAsia="zh-CN"/>
        </w:rPr>
      </w:pPr>
      <w:r>
        <w:rPr>
          <w:rFonts w:hint="default" w:ascii="仿宋" w:hAnsi="仿宋" w:eastAsia="仿宋"/>
          <w:b w:val="0"/>
          <w:bCs w:val="0"/>
          <w:sz w:val="28"/>
          <w:szCs w:val="28"/>
          <w:lang w:val="en-US" w:eastAsia="zh-CN"/>
        </w:rPr>
        <w:t>从考古材料来看，到目前为止，巴蜀文化的铜器上只见到巴蜀符号，却没有发现铸刻汉字的现象（有汉字的铜器都是楚国或秦国的铜器），巴蜀地区不行用汉字应该是可以肯定的。那么巴蜀符号究竟是一种有别于汉字的文字体系，还是一种比较原始的表达思想片段的符号？中科院的专家们对巴蜀符号的性质和意义也还在不断地探索和研究中。</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（15分钟）学生们休息和上洗手间</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研学成果展示：</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（15分钟）学生们讨论巴蜀符号是图形？是族徽？还是原始的文字？说出自己的理由。</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val="0"/>
          <w:sz w:val="28"/>
          <w:szCs w:val="28"/>
          <w:lang w:val="en-US" w:eastAsia="zh-CN"/>
        </w:rPr>
      </w:pPr>
      <w:r>
        <w:rPr>
          <w:rFonts w:hint="eastAsia" w:ascii="仿宋" w:hAnsi="仿宋" w:eastAsia="仿宋"/>
          <w:sz w:val="28"/>
          <w:szCs w:val="28"/>
          <w:lang w:val="en-US" w:eastAsia="zh-CN"/>
        </w:rPr>
        <w:t>（15分钟）</w:t>
      </w:r>
      <w:r>
        <w:rPr>
          <w:rFonts w:hint="eastAsia" w:ascii="仿宋" w:hAnsi="仿宋" w:eastAsia="仿宋"/>
          <w:b w:val="0"/>
          <w:bCs w:val="0"/>
          <w:sz w:val="28"/>
          <w:szCs w:val="28"/>
          <w:lang w:val="en-US" w:eastAsia="zh-CN"/>
        </w:rPr>
        <w:t>学生们根据研学手册上的巴蜀符号猜测对应的动植物及物品。</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（15分钟）学生们在研学手册上指定区域设计自己的徽纹，并说明理由。</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（30分钟）学生们自己创造一组象形文字，涵盖名字、形容词、量词等，在研学手册上写下来。并用自己创造的文字写一段话，并翻译。之后互相交换交流。</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研学效果评价：</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仿宋" w:hAnsi="仿宋" w:eastAsia="仿宋"/>
          <w:sz w:val="28"/>
          <w:szCs w:val="28"/>
        </w:rPr>
      </w:pPr>
      <w:r>
        <w:rPr>
          <w:rFonts w:hint="eastAsia" w:ascii="仿宋" w:hAnsi="仿宋" w:eastAsia="仿宋"/>
          <w:sz w:val="28"/>
          <w:szCs w:val="28"/>
          <w:lang w:val="en-US" w:eastAsia="zh-CN"/>
        </w:rPr>
        <w:t>（10分钟）听课是否认真，参与活动是否积极，创造文字是否有思想</w:t>
      </w:r>
      <w:r>
        <w:rPr>
          <w:rFonts w:hint="eastAsia" w:ascii="仿宋" w:hAnsi="仿宋" w:eastAsia="仿宋"/>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sz w:val="28"/>
          <w:szCs w:val="28"/>
        </w:rPr>
      </w:pPr>
      <w:r>
        <w:rPr>
          <w:rFonts w:hint="eastAsia" w:ascii="仿宋" w:hAnsi="仿宋" w:eastAsia="仿宋"/>
          <w:b/>
          <w:sz w:val="28"/>
          <w:szCs w:val="28"/>
          <w:lang w:val="en-US" w:eastAsia="zh-CN"/>
        </w:rPr>
        <w:t>十一、</w:t>
      </w:r>
      <w:r>
        <w:rPr>
          <w:rFonts w:ascii="仿宋" w:hAnsi="仿宋" w:eastAsia="仿宋"/>
          <w:b/>
          <w:sz w:val="28"/>
          <w:szCs w:val="28"/>
        </w:rPr>
        <w:t>研学评价</w:t>
      </w:r>
      <w:r>
        <w:rPr>
          <w:rFonts w:hint="eastAsia" w:ascii="仿宋" w:hAnsi="仿宋" w:eastAsia="仿宋"/>
          <w:b/>
          <w:sz w:val="28"/>
          <w:szCs w:val="28"/>
        </w:rPr>
        <w:t>：</w:t>
      </w:r>
    </w:p>
    <w:p>
      <w:pPr>
        <w:widowControl w:val="0"/>
        <w:numPr>
          <w:ilvl w:val="1"/>
          <w:numId w:val="3"/>
        </w:numPr>
        <w:spacing w:after="0"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学生评价</w:t>
      </w:r>
    </w:p>
    <w:p>
      <w:pPr>
        <w:widowControl w:val="0"/>
        <w:spacing w:after="0" w:line="360" w:lineRule="auto"/>
        <w:ind w:firstLine="422" w:firstLineChars="200"/>
        <w:jc w:val="center"/>
        <w:rPr>
          <w:rFonts w:ascii="仿宋" w:hAnsi="仿宋" w:eastAsia="仿宋" w:cs="宋体"/>
          <w:b/>
          <w:bCs/>
          <w:color w:val="000000"/>
          <w:szCs w:val="21"/>
        </w:rPr>
      </w:pPr>
      <w:r>
        <w:rPr>
          <w:rFonts w:hint="eastAsia" w:ascii="仿宋" w:hAnsi="仿宋" w:eastAsia="仿宋" w:cs="宋体"/>
          <w:b/>
          <w:bCs/>
          <w:color w:val="000000"/>
          <w:szCs w:val="21"/>
        </w:rPr>
        <w:t>三峡人家研学基地研学课程教学评价表</w:t>
      </w:r>
    </w:p>
    <w:tbl>
      <w:tblPr>
        <w:tblStyle w:val="2"/>
        <w:tblW w:w="8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2363"/>
        <w:gridCol w:w="2385"/>
        <w:gridCol w:w="667"/>
        <w:gridCol w:w="663"/>
        <w:gridCol w:w="663"/>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998" w:type="dxa"/>
            <w:gridSpan w:val="3"/>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学校：</w:t>
            </w:r>
          </w:p>
        </w:tc>
        <w:tc>
          <w:tcPr>
            <w:tcW w:w="2673" w:type="dxa"/>
            <w:gridSpan w:val="4"/>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学生姓名：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13" w:type="dxa"/>
            <w:gridSpan w:val="2"/>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研学课程名称：</w:t>
            </w:r>
          </w:p>
        </w:tc>
        <w:tc>
          <w:tcPr>
            <w:tcW w:w="2385" w:type="dxa"/>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研学时间：</w:t>
            </w:r>
          </w:p>
        </w:tc>
        <w:tc>
          <w:tcPr>
            <w:tcW w:w="2673" w:type="dxa"/>
            <w:gridSpan w:val="4"/>
            <w:vAlign w:val="center"/>
          </w:tcPr>
          <w:p>
            <w:pPr>
              <w:widowControl w:val="0"/>
              <w:spacing w:after="0"/>
              <w:rPr>
                <w:rFonts w:ascii="仿宋" w:hAnsi="仿宋" w:eastAsia="仿宋" w:cs="宋体"/>
                <w:b/>
                <w:bCs/>
                <w:color w:val="000000"/>
                <w:szCs w:val="21"/>
              </w:rPr>
            </w:pPr>
            <w:r>
              <w:rPr>
                <w:rFonts w:hint="eastAsia" w:ascii="仿宋" w:hAnsi="仿宋" w:eastAsia="仿宋" w:cs="宋体"/>
                <w:b/>
                <w:bCs/>
                <w:color w:val="000000"/>
                <w:szCs w:val="21"/>
              </w:rPr>
              <w:t>导师姓名：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指标</w:t>
            </w:r>
          </w:p>
        </w:tc>
        <w:tc>
          <w:tcPr>
            <w:tcW w:w="4748" w:type="dxa"/>
            <w:gridSpan w:val="2"/>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评分标准</w:t>
            </w:r>
          </w:p>
        </w:tc>
        <w:tc>
          <w:tcPr>
            <w:tcW w:w="667"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自评</w:t>
            </w:r>
          </w:p>
        </w:tc>
        <w:tc>
          <w:tcPr>
            <w:tcW w:w="663"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互评</w:t>
            </w:r>
          </w:p>
        </w:tc>
        <w:tc>
          <w:tcPr>
            <w:tcW w:w="663"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师评</w:t>
            </w:r>
          </w:p>
        </w:tc>
        <w:tc>
          <w:tcPr>
            <w:tcW w:w="680" w:type="dxa"/>
            <w:vAlign w:val="center"/>
          </w:tcPr>
          <w:p>
            <w:pPr>
              <w:widowControl w:val="0"/>
              <w:spacing w:after="0"/>
              <w:jc w:val="center"/>
              <w:rPr>
                <w:rFonts w:ascii="仿宋" w:hAnsi="仿宋" w:eastAsia="仿宋" w:cs="宋体"/>
                <w:color w:val="000000"/>
                <w:szCs w:val="21"/>
              </w:rPr>
            </w:pPr>
            <w:r>
              <w:rPr>
                <w:rFonts w:hint="eastAsia" w:ascii="仿宋" w:hAnsi="仿宋" w:eastAsia="仿宋" w:cs="宋体"/>
                <w:color w:val="000000"/>
                <w:szCs w:val="21"/>
              </w:rPr>
              <w:t>综合等级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课堂表现</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积极认领任务，积极思考、主动发言，勇于实践、敢于创新，发挥特长、团结合作。</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restart"/>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主动关心和帮助同学，团队意识强，合作项目积极献言献策，并协助大家一起完成任务。</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遵守课堂纪律，自觉服从研学导师的管理，听从指挥，维护大局、能协助老师管理</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态度认真，准备充分，积极参与课堂活动，主动完成研学任务，有成果收获。</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文明礼仪</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乘车礼仪：有序上下车、不疯赶打闹、不窜座位、不乱扔废弃物，主动参与活动</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公共礼仪：公共场所能注重个人礼仪规范，文明用语，不大声喧哗，爱护卫生，保护环境，</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学生礼仪：严于律己，乐于助人，能够始终保持良好的学生形象。</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就餐礼仪：依次就坐、不敲打碗筷、不挑不抢、吃饭不语、光盘行动</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安全意识</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乘车安全：系好安全带、不随意脱离座位、不将头手伸出车外、熟悉安全设施设备</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课堂安全：有序参与各项研学实践活动，正确使用教学设备和设施，不伤及自己或他人</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就餐安全：依次排队就餐、注意防滑、防烫、防明火、禁止在非正规经营点购买食品</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景点安全：排队入园、文明游览、不脱离团队、听从导师安排、主动远离危险源、风险意识强、帮助同学提高安全意识</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restart"/>
            <w:vAlign w:val="center"/>
          </w:tcPr>
          <w:p>
            <w:pPr>
              <w:widowControl w:val="0"/>
              <w:spacing w:after="0"/>
              <w:rPr>
                <w:rFonts w:ascii="仿宋" w:hAnsi="仿宋" w:eastAsia="仿宋" w:cs="宋体"/>
                <w:color w:val="000000"/>
                <w:szCs w:val="21"/>
              </w:rPr>
            </w:pPr>
            <w:r>
              <w:rPr>
                <w:rFonts w:ascii="仿宋" w:hAnsi="仿宋" w:eastAsia="仿宋" w:cs="宋体"/>
                <w:color w:val="000000"/>
                <w:szCs w:val="21"/>
              </w:rPr>
              <w:t>学习成果</w:t>
            </w: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探究成果：认真完成研学课程布置的任务，认真收集学习资料和完成研学手册中拓展延伸的项目，能在研学中发现新问题。</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学习效果：参与小组活动分享，形成学习记录。分享新颖、有创意，小组讨论及分享语言表达清晰、流畅，有自己见解</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dxa"/>
            <w:vMerge w:val="continue"/>
            <w:vAlign w:val="center"/>
          </w:tcPr>
          <w:p>
            <w:pPr>
              <w:widowControl w:val="0"/>
              <w:spacing w:after="0"/>
              <w:rPr>
                <w:rFonts w:ascii="仿宋" w:hAnsi="仿宋" w:eastAsia="仿宋" w:cs="宋体"/>
                <w:color w:val="000000"/>
                <w:szCs w:val="21"/>
              </w:rPr>
            </w:pPr>
          </w:p>
        </w:tc>
        <w:tc>
          <w:tcPr>
            <w:tcW w:w="4748" w:type="dxa"/>
            <w:gridSpan w:val="2"/>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研学手册：认真完成研学手册，书写认真，记载完整。</w:t>
            </w:r>
          </w:p>
        </w:tc>
        <w:tc>
          <w:tcPr>
            <w:tcW w:w="667"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63" w:type="dxa"/>
            <w:vAlign w:val="center"/>
          </w:tcPr>
          <w:p>
            <w:pPr>
              <w:widowControl w:val="0"/>
              <w:spacing w:after="0"/>
              <w:rPr>
                <w:rFonts w:ascii="仿宋" w:hAnsi="仿宋" w:eastAsia="仿宋" w:cs="宋体"/>
                <w:color w:val="000000"/>
                <w:szCs w:val="21"/>
              </w:rPr>
            </w:pPr>
          </w:p>
        </w:tc>
        <w:tc>
          <w:tcPr>
            <w:tcW w:w="680" w:type="dxa"/>
            <w:vMerge w:val="continue"/>
            <w:vAlign w:val="center"/>
          </w:tcPr>
          <w:p>
            <w:pPr>
              <w:widowControl w:val="0"/>
              <w:spacing w:after="0"/>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1" w:type="dxa"/>
            <w:gridSpan w:val="7"/>
            <w:vAlign w:val="center"/>
          </w:tcPr>
          <w:p>
            <w:pPr>
              <w:widowControl w:val="0"/>
              <w:spacing w:after="0"/>
              <w:rPr>
                <w:rFonts w:ascii="仿宋" w:hAnsi="仿宋" w:eastAsia="仿宋" w:cs="宋体"/>
                <w:color w:val="000000"/>
                <w:szCs w:val="21"/>
              </w:rPr>
            </w:pPr>
            <w:r>
              <w:rPr>
                <w:rFonts w:hint="eastAsia" w:ascii="仿宋" w:hAnsi="仿宋" w:eastAsia="仿宋" w:cs="宋体"/>
                <w:color w:val="000000"/>
                <w:szCs w:val="21"/>
              </w:rPr>
              <w:t>评价标准：A 优秀； B 良好； C 合作；D 待改进</w:t>
            </w:r>
          </w:p>
        </w:tc>
      </w:tr>
    </w:tbl>
    <w:p>
      <w:pPr>
        <w:widowControl w:val="0"/>
        <w:spacing w:after="0" w:line="360" w:lineRule="auto"/>
        <w:ind w:firstLine="422" w:firstLineChars="200"/>
        <w:rPr>
          <w:rFonts w:ascii="仿宋" w:hAnsi="仿宋" w:eastAsia="仿宋" w:cs="宋体"/>
          <w:b/>
          <w:bCs/>
          <w:color w:val="000000"/>
          <w:szCs w:val="21"/>
        </w:rPr>
      </w:pPr>
    </w:p>
    <w:p>
      <w:pPr>
        <w:widowControl w:val="0"/>
        <w:numPr>
          <w:ilvl w:val="1"/>
          <w:numId w:val="3"/>
        </w:numPr>
        <w:spacing w:after="0"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基地评价</w:t>
      </w:r>
    </w:p>
    <w:p>
      <w:pPr>
        <w:widowControl w:val="0"/>
        <w:spacing w:after="0" w:line="360" w:lineRule="auto"/>
        <w:ind w:firstLine="422" w:firstLineChars="200"/>
        <w:rPr>
          <w:rFonts w:ascii="仿宋" w:hAnsi="仿宋" w:eastAsia="仿宋" w:cs="仿宋"/>
          <w:bCs/>
          <w:sz w:val="28"/>
          <w:szCs w:val="28"/>
        </w:rPr>
      </w:pPr>
      <w:r>
        <w:rPr>
          <w:rFonts w:hint="eastAsia" w:ascii="仿宋" w:hAnsi="仿宋" w:eastAsia="仿宋" w:cs="宋体"/>
          <w:b/>
          <w:bCs/>
          <w:color w:val="000000"/>
          <w:szCs w:val="21"/>
        </w:rPr>
        <w:t>三峡人家研学基地评价表</w:t>
      </w:r>
    </w:p>
    <w:tbl>
      <w:tblPr>
        <w:tblStyle w:val="2"/>
        <w:tblW w:w="10239" w:type="dxa"/>
        <w:tblInd w:w="-8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012"/>
        <w:gridCol w:w="1749"/>
        <w:gridCol w:w="1830"/>
        <w:gridCol w:w="1773"/>
        <w:gridCol w:w="1716"/>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0" w:type="dxa"/>
            <w:gridSpan w:val="5"/>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学校：</w:t>
            </w:r>
          </w:p>
        </w:tc>
        <w:tc>
          <w:tcPr>
            <w:tcW w:w="3409" w:type="dxa"/>
            <w:gridSpan w:val="2"/>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0" w:type="dxa"/>
            <w:gridSpan w:val="5"/>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研学课程名称：</w:t>
            </w:r>
          </w:p>
        </w:tc>
        <w:tc>
          <w:tcPr>
            <w:tcW w:w="3409" w:type="dxa"/>
            <w:gridSpan w:val="2"/>
            <w:vAlign w:val="center"/>
          </w:tcPr>
          <w:p>
            <w:pPr>
              <w:widowControl w:val="0"/>
              <w:spacing w:after="0"/>
              <w:ind w:right="-99" w:rightChars="-47"/>
              <w:rPr>
                <w:rFonts w:ascii="仿宋" w:hAnsi="仿宋" w:eastAsia="仿宋" w:cs="宋体"/>
                <w:b/>
                <w:bCs/>
                <w:color w:val="000000"/>
                <w:szCs w:val="21"/>
              </w:rPr>
            </w:pPr>
            <w:r>
              <w:rPr>
                <w:rFonts w:hint="eastAsia" w:ascii="仿宋" w:hAnsi="仿宋" w:eastAsia="仿宋" w:cs="宋体"/>
                <w:b/>
                <w:bCs/>
                <w:color w:val="000000"/>
                <w:szCs w:val="21"/>
              </w:rPr>
              <w:t>研学导师：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478" w:type="dxa"/>
            <w:gridSpan w:val="2"/>
            <w:vMerge w:val="restart"/>
            <w:vAlign w:val="center"/>
          </w:tcPr>
          <w:p>
            <w:pPr>
              <w:widowControl w:val="0"/>
              <w:spacing w:after="0"/>
              <w:jc w:val="center"/>
              <w:rPr>
                <w:rFonts w:ascii="仿宋" w:hAnsi="仿宋" w:eastAsia="仿宋" w:cs="仿宋"/>
                <w:sz w:val="28"/>
                <w:szCs w:val="28"/>
              </w:rPr>
            </w:pPr>
            <w:r>
              <w:rPr>
                <w:rFonts w:hint="eastAsia" w:ascii="仿宋" w:hAnsi="仿宋" w:eastAsia="仿宋" w:cs="仿宋"/>
                <w:sz w:val="28"/>
                <w:szCs w:val="28"/>
              </w:rPr>
              <w:t>项目</w:t>
            </w:r>
          </w:p>
        </w:tc>
        <w:tc>
          <w:tcPr>
            <w:tcW w:w="1749"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导师综合素质</w:t>
            </w:r>
          </w:p>
        </w:tc>
        <w:tc>
          <w:tcPr>
            <w:tcW w:w="1830"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研学线路特色</w:t>
            </w:r>
          </w:p>
        </w:tc>
        <w:tc>
          <w:tcPr>
            <w:tcW w:w="1773"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研学课程实施</w:t>
            </w:r>
          </w:p>
        </w:tc>
        <w:tc>
          <w:tcPr>
            <w:tcW w:w="1716"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基地硬件环境</w:t>
            </w:r>
          </w:p>
        </w:tc>
        <w:tc>
          <w:tcPr>
            <w:tcW w:w="1693" w:type="dxa"/>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研学安全保障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1478" w:type="dxa"/>
            <w:gridSpan w:val="2"/>
            <w:vMerge w:val="continue"/>
            <w:vAlign w:val="center"/>
          </w:tcPr>
          <w:p>
            <w:pPr>
              <w:widowControl w:val="0"/>
              <w:spacing w:after="0"/>
              <w:rPr>
                <w:rFonts w:ascii="仿宋" w:hAnsi="仿宋" w:eastAsia="仿宋" w:cs="仿宋"/>
                <w:sz w:val="28"/>
                <w:szCs w:val="28"/>
              </w:rPr>
            </w:pPr>
          </w:p>
        </w:tc>
        <w:tc>
          <w:tcPr>
            <w:tcW w:w="1749" w:type="dxa"/>
            <w:vAlign w:val="center"/>
          </w:tcPr>
          <w:p>
            <w:pPr>
              <w:widowControl w:val="0"/>
              <w:spacing w:after="0"/>
              <w:rPr>
                <w:rFonts w:ascii="仿宋" w:hAnsi="仿宋" w:eastAsia="仿宋" w:cs="仿宋"/>
              </w:rPr>
            </w:pPr>
            <w:r>
              <w:rPr>
                <w:rFonts w:hint="eastAsia" w:ascii="仿宋" w:hAnsi="仿宋" w:eastAsia="仿宋" w:cs="仿宋"/>
              </w:rPr>
              <w:t>综合素质高</w:t>
            </w:r>
          </w:p>
          <w:p>
            <w:pPr>
              <w:widowControl w:val="0"/>
              <w:spacing w:after="0"/>
              <w:rPr>
                <w:rFonts w:ascii="仿宋" w:hAnsi="仿宋" w:eastAsia="仿宋" w:cs="仿宋"/>
              </w:rPr>
            </w:pPr>
            <w:r>
              <w:rPr>
                <w:rFonts w:hint="eastAsia" w:ascii="仿宋" w:hAnsi="仿宋" w:eastAsia="仿宋" w:cs="仿宋"/>
              </w:rPr>
              <w:t>文化知识储备丰富</w:t>
            </w:r>
          </w:p>
          <w:p>
            <w:pPr>
              <w:widowControl w:val="0"/>
              <w:spacing w:after="0"/>
              <w:rPr>
                <w:rFonts w:ascii="仿宋" w:hAnsi="仿宋" w:eastAsia="仿宋" w:cs="仿宋"/>
              </w:rPr>
            </w:pPr>
            <w:r>
              <w:rPr>
                <w:rFonts w:hint="eastAsia" w:ascii="仿宋" w:hAnsi="仿宋" w:eastAsia="仿宋" w:cs="仿宋"/>
              </w:rPr>
              <w:t>较强的课堂掌控力</w:t>
            </w:r>
          </w:p>
        </w:tc>
        <w:tc>
          <w:tcPr>
            <w:tcW w:w="1830" w:type="dxa"/>
            <w:vAlign w:val="center"/>
          </w:tcPr>
          <w:p>
            <w:pPr>
              <w:widowControl w:val="0"/>
              <w:spacing w:after="0"/>
              <w:rPr>
                <w:rFonts w:ascii="仿宋" w:hAnsi="仿宋" w:eastAsia="仿宋" w:cs="仿宋"/>
              </w:rPr>
            </w:pPr>
            <w:r>
              <w:rPr>
                <w:rFonts w:hint="eastAsia" w:ascii="仿宋" w:hAnsi="仿宋" w:eastAsia="仿宋" w:cs="仿宋"/>
              </w:rPr>
              <w:t>线路安排合理</w:t>
            </w:r>
          </w:p>
          <w:p>
            <w:pPr>
              <w:widowControl w:val="0"/>
              <w:spacing w:after="0"/>
              <w:rPr>
                <w:rFonts w:ascii="仿宋" w:hAnsi="仿宋" w:eastAsia="仿宋" w:cs="仿宋"/>
              </w:rPr>
            </w:pPr>
            <w:r>
              <w:rPr>
                <w:rFonts w:hint="eastAsia" w:ascii="仿宋" w:hAnsi="仿宋" w:eastAsia="仿宋" w:cs="仿宋"/>
              </w:rPr>
              <w:t>研学资源丰富</w:t>
            </w:r>
          </w:p>
          <w:p>
            <w:pPr>
              <w:widowControl w:val="0"/>
              <w:spacing w:after="0"/>
              <w:rPr>
                <w:rFonts w:ascii="仿宋" w:hAnsi="仿宋" w:eastAsia="仿宋" w:cs="仿宋"/>
              </w:rPr>
            </w:pPr>
            <w:r>
              <w:rPr>
                <w:rFonts w:hint="eastAsia" w:ascii="仿宋" w:hAnsi="仿宋" w:eastAsia="仿宋" w:cs="仿宋"/>
              </w:rPr>
              <w:t>独具宜昌特色</w:t>
            </w:r>
          </w:p>
        </w:tc>
        <w:tc>
          <w:tcPr>
            <w:tcW w:w="1773" w:type="dxa"/>
            <w:vAlign w:val="center"/>
          </w:tcPr>
          <w:p>
            <w:pPr>
              <w:widowControl w:val="0"/>
              <w:spacing w:after="0"/>
              <w:rPr>
                <w:rFonts w:ascii="仿宋" w:hAnsi="仿宋" w:eastAsia="仿宋" w:cs="仿宋"/>
              </w:rPr>
            </w:pPr>
            <w:r>
              <w:rPr>
                <w:rFonts w:hint="eastAsia" w:ascii="仿宋" w:hAnsi="仿宋" w:eastAsia="仿宋" w:cs="仿宋"/>
              </w:rPr>
              <w:t>课程实施流畅</w:t>
            </w:r>
          </w:p>
          <w:p>
            <w:pPr>
              <w:widowControl w:val="0"/>
              <w:spacing w:after="0"/>
              <w:rPr>
                <w:rFonts w:ascii="仿宋" w:hAnsi="仿宋" w:eastAsia="仿宋" w:cs="仿宋"/>
              </w:rPr>
            </w:pPr>
            <w:r>
              <w:rPr>
                <w:rFonts w:hint="eastAsia" w:ascii="仿宋" w:hAnsi="仿宋" w:eastAsia="仿宋" w:cs="仿宋"/>
              </w:rPr>
              <w:t>课程安排合理</w:t>
            </w:r>
          </w:p>
        </w:tc>
        <w:tc>
          <w:tcPr>
            <w:tcW w:w="1716" w:type="dxa"/>
            <w:vAlign w:val="center"/>
          </w:tcPr>
          <w:p>
            <w:pPr>
              <w:widowControl w:val="0"/>
              <w:spacing w:after="0"/>
              <w:rPr>
                <w:rFonts w:ascii="仿宋" w:hAnsi="仿宋" w:eastAsia="仿宋" w:cs="仿宋"/>
              </w:rPr>
            </w:pPr>
            <w:r>
              <w:rPr>
                <w:rFonts w:hint="eastAsia" w:ascii="仿宋" w:hAnsi="仿宋" w:eastAsia="仿宋" w:cs="仿宋"/>
              </w:rPr>
              <w:t>基地硬件设施完备</w:t>
            </w:r>
          </w:p>
          <w:p>
            <w:pPr>
              <w:widowControl w:val="0"/>
              <w:spacing w:after="0"/>
              <w:rPr>
                <w:rFonts w:ascii="仿宋" w:hAnsi="仿宋" w:eastAsia="仿宋" w:cs="仿宋"/>
              </w:rPr>
            </w:pPr>
            <w:r>
              <w:rPr>
                <w:rFonts w:hint="eastAsia" w:ascii="仿宋" w:hAnsi="仿宋" w:eastAsia="仿宋" w:cs="仿宋"/>
              </w:rPr>
              <w:t>研学环境舒适</w:t>
            </w:r>
          </w:p>
        </w:tc>
        <w:tc>
          <w:tcPr>
            <w:tcW w:w="1693" w:type="dxa"/>
            <w:vAlign w:val="center"/>
          </w:tcPr>
          <w:p>
            <w:pPr>
              <w:widowControl w:val="0"/>
              <w:spacing w:after="0"/>
              <w:rPr>
                <w:rFonts w:ascii="仿宋" w:hAnsi="仿宋" w:eastAsia="仿宋" w:cs="仿宋"/>
              </w:rPr>
            </w:pPr>
            <w:r>
              <w:rPr>
                <w:rFonts w:hint="eastAsia" w:ascii="仿宋" w:hAnsi="仿宋" w:eastAsia="仿宋" w:cs="仿宋"/>
              </w:rPr>
              <w:t>安全设施完备</w:t>
            </w:r>
          </w:p>
          <w:p>
            <w:pPr>
              <w:widowControl w:val="0"/>
              <w:spacing w:after="0"/>
              <w:rPr>
                <w:rFonts w:ascii="仿宋" w:hAnsi="仿宋" w:eastAsia="仿宋" w:cs="仿宋"/>
              </w:rPr>
            </w:pPr>
            <w:r>
              <w:rPr>
                <w:rFonts w:hint="eastAsia" w:ascii="仿宋" w:hAnsi="仿宋" w:eastAsia="仿宋" w:cs="仿宋"/>
              </w:rPr>
              <w:t>安全员配备合理</w:t>
            </w:r>
          </w:p>
          <w:p>
            <w:pPr>
              <w:widowControl w:val="0"/>
              <w:spacing w:after="0"/>
              <w:rPr>
                <w:rFonts w:ascii="仿宋" w:hAnsi="仿宋" w:eastAsia="仿宋" w:cs="仿宋"/>
              </w:rPr>
            </w:pPr>
            <w:r>
              <w:rPr>
                <w:rFonts w:hint="eastAsia" w:ascii="仿宋" w:hAnsi="仿宋" w:eastAsia="仿宋" w:cs="仿宋"/>
              </w:rPr>
              <w:t>安全预案完善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学</w:t>
            </w:r>
          </w:p>
          <w:p>
            <w:pPr>
              <w:widowControl w:val="0"/>
              <w:spacing w:after="0"/>
              <w:rPr>
                <w:rFonts w:ascii="仿宋" w:hAnsi="仿宋" w:eastAsia="仿宋" w:cs="仿宋"/>
                <w:sz w:val="24"/>
                <w:szCs w:val="24"/>
              </w:rPr>
            </w:pPr>
            <w:r>
              <w:rPr>
                <w:rFonts w:hint="eastAsia" w:ascii="仿宋" w:hAnsi="仿宋" w:eastAsia="仿宋" w:cs="仿宋"/>
                <w:sz w:val="24"/>
                <w:szCs w:val="24"/>
              </w:rPr>
              <w:t>生</w:t>
            </w:r>
          </w:p>
          <w:p>
            <w:pPr>
              <w:widowControl w:val="0"/>
              <w:spacing w:after="0"/>
              <w:rPr>
                <w:rFonts w:ascii="仿宋" w:hAnsi="仿宋" w:eastAsia="仿宋" w:cs="仿宋"/>
                <w:sz w:val="24"/>
                <w:szCs w:val="24"/>
              </w:rPr>
            </w:pPr>
            <w:r>
              <w:rPr>
                <w:rFonts w:hint="eastAsia" w:ascii="仿宋" w:hAnsi="仿宋" w:eastAsia="仿宋" w:cs="仿宋"/>
                <w:sz w:val="24"/>
                <w:szCs w:val="24"/>
              </w:rPr>
              <w:t>代</w:t>
            </w:r>
          </w:p>
          <w:p>
            <w:pPr>
              <w:widowControl w:val="0"/>
              <w:spacing w:after="0"/>
              <w:rPr>
                <w:rFonts w:ascii="仿宋" w:hAnsi="仿宋" w:eastAsia="仿宋" w:cs="仿宋"/>
                <w:sz w:val="24"/>
                <w:szCs w:val="24"/>
              </w:rPr>
            </w:pPr>
            <w:r>
              <w:rPr>
                <w:rFonts w:hint="eastAsia" w:ascii="仿宋" w:hAnsi="仿宋" w:eastAsia="仿宋" w:cs="仿宋"/>
                <w:sz w:val="24"/>
                <w:szCs w:val="24"/>
              </w:rPr>
              <w:t>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家长代表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66" w:type="dxa"/>
            <w:vMerge w:val="continue"/>
            <w:vAlign w:val="center"/>
          </w:tcPr>
          <w:p>
            <w:pPr>
              <w:widowControl w:val="0"/>
              <w:spacing w:after="0"/>
              <w:rPr>
                <w:rFonts w:ascii="仿宋" w:hAnsi="仿宋" w:eastAsia="仿宋" w:cs="仿宋"/>
                <w:sz w:val="24"/>
                <w:szCs w:val="24"/>
              </w:rPr>
            </w:pP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66" w:type="dxa"/>
            <w:vMerge w:val="restart"/>
            <w:vAlign w:val="center"/>
          </w:tcPr>
          <w:p>
            <w:pPr>
              <w:widowControl w:val="0"/>
              <w:spacing w:after="0"/>
              <w:rPr>
                <w:rFonts w:ascii="仿宋" w:hAnsi="仿宋" w:eastAsia="仿宋" w:cs="仿宋"/>
                <w:sz w:val="24"/>
                <w:szCs w:val="24"/>
              </w:rPr>
            </w:pPr>
            <w:r>
              <w:rPr>
                <w:rFonts w:hint="eastAsia" w:ascii="仿宋" w:hAnsi="仿宋" w:eastAsia="仿宋" w:cs="仿宋"/>
                <w:sz w:val="24"/>
                <w:szCs w:val="24"/>
              </w:rPr>
              <w:t>老师代表</w:t>
            </w:r>
          </w:p>
        </w:tc>
        <w:tc>
          <w:tcPr>
            <w:tcW w:w="1012" w:type="dxa"/>
            <w:vAlign w:val="center"/>
          </w:tcPr>
          <w:p>
            <w:pPr>
              <w:widowControl w:val="0"/>
              <w:spacing w:after="0"/>
              <w:rPr>
                <w:rFonts w:ascii="仿宋" w:hAnsi="仿宋" w:eastAsia="仿宋" w:cs="仿宋"/>
                <w:sz w:val="24"/>
                <w:szCs w:val="24"/>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dxa"/>
            <w:vMerge w:val="continue"/>
            <w:vAlign w:val="center"/>
          </w:tcPr>
          <w:p>
            <w:pPr>
              <w:widowControl w:val="0"/>
              <w:spacing w:after="0"/>
              <w:rPr>
                <w:rFonts w:ascii="仿宋" w:hAnsi="仿宋" w:eastAsia="仿宋" w:cs="仿宋"/>
                <w:sz w:val="28"/>
                <w:szCs w:val="28"/>
              </w:rPr>
            </w:pPr>
          </w:p>
        </w:tc>
        <w:tc>
          <w:tcPr>
            <w:tcW w:w="1012" w:type="dxa"/>
            <w:vAlign w:val="center"/>
          </w:tcPr>
          <w:p>
            <w:pPr>
              <w:widowControl w:val="0"/>
              <w:spacing w:after="0"/>
              <w:rPr>
                <w:rFonts w:ascii="仿宋" w:hAnsi="仿宋" w:eastAsia="仿宋" w:cs="仿宋"/>
                <w:sz w:val="28"/>
                <w:szCs w:val="28"/>
              </w:rPr>
            </w:pPr>
          </w:p>
        </w:tc>
        <w:tc>
          <w:tcPr>
            <w:tcW w:w="1749" w:type="dxa"/>
            <w:vAlign w:val="center"/>
          </w:tcPr>
          <w:p>
            <w:pPr>
              <w:widowControl w:val="0"/>
              <w:spacing w:after="0"/>
              <w:rPr>
                <w:rFonts w:ascii="仿宋" w:hAnsi="仿宋" w:eastAsia="仿宋" w:cs="仿宋"/>
                <w:sz w:val="18"/>
                <w:szCs w:val="18"/>
              </w:rPr>
            </w:pPr>
          </w:p>
        </w:tc>
        <w:tc>
          <w:tcPr>
            <w:tcW w:w="1830" w:type="dxa"/>
            <w:vAlign w:val="center"/>
          </w:tcPr>
          <w:p>
            <w:pPr>
              <w:widowControl w:val="0"/>
              <w:spacing w:after="0"/>
              <w:rPr>
                <w:rFonts w:ascii="仿宋" w:hAnsi="仿宋" w:eastAsia="仿宋" w:cs="仿宋"/>
                <w:sz w:val="18"/>
                <w:szCs w:val="18"/>
              </w:rPr>
            </w:pPr>
          </w:p>
        </w:tc>
        <w:tc>
          <w:tcPr>
            <w:tcW w:w="1773" w:type="dxa"/>
            <w:vAlign w:val="center"/>
          </w:tcPr>
          <w:p>
            <w:pPr>
              <w:widowControl w:val="0"/>
              <w:spacing w:after="0"/>
              <w:rPr>
                <w:rFonts w:ascii="仿宋" w:hAnsi="仿宋" w:eastAsia="仿宋" w:cs="仿宋"/>
                <w:sz w:val="18"/>
                <w:szCs w:val="18"/>
              </w:rPr>
            </w:pPr>
          </w:p>
        </w:tc>
        <w:tc>
          <w:tcPr>
            <w:tcW w:w="1716" w:type="dxa"/>
            <w:vAlign w:val="center"/>
          </w:tcPr>
          <w:p>
            <w:pPr>
              <w:widowControl w:val="0"/>
              <w:spacing w:after="0"/>
              <w:rPr>
                <w:rFonts w:ascii="仿宋" w:hAnsi="仿宋" w:eastAsia="仿宋" w:cs="仿宋"/>
                <w:sz w:val="18"/>
                <w:szCs w:val="18"/>
              </w:rPr>
            </w:pPr>
          </w:p>
        </w:tc>
        <w:tc>
          <w:tcPr>
            <w:tcW w:w="1693" w:type="dxa"/>
            <w:vAlign w:val="center"/>
          </w:tcPr>
          <w:p>
            <w:pPr>
              <w:widowControl w:val="0"/>
              <w:spacing w:after="0"/>
              <w:rPr>
                <w:rFonts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6" w:hRule="atLeast"/>
        </w:trPr>
        <w:tc>
          <w:tcPr>
            <w:tcW w:w="1478" w:type="dxa"/>
            <w:gridSpan w:val="2"/>
            <w:vAlign w:val="center"/>
          </w:tcPr>
          <w:p>
            <w:pPr>
              <w:widowControl w:val="0"/>
              <w:spacing w:after="0"/>
              <w:rPr>
                <w:rFonts w:ascii="仿宋" w:hAnsi="仿宋" w:eastAsia="仿宋" w:cs="仿宋"/>
                <w:color w:val="000000"/>
                <w:sz w:val="24"/>
                <w:szCs w:val="24"/>
              </w:rPr>
            </w:pPr>
            <w:r>
              <w:rPr>
                <w:rFonts w:hint="eastAsia" w:ascii="仿宋" w:hAnsi="仿宋" w:eastAsia="仿宋" w:cs="仿宋"/>
                <w:color w:val="000000"/>
                <w:sz w:val="24"/>
                <w:szCs w:val="24"/>
              </w:rPr>
              <w:t>详细意见</w:t>
            </w:r>
          </w:p>
        </w:tc>
        <w:tc>
          <w:tcPr>
            <w:tcW w:w="8761" w:type="dxa"/>
            <w:gridSpan w:val="5"/>
            <w:vAlign w:val="center"/>
          </w:tcPr>
          <w:p>
            <w:pPr>
              <w:widowControl w:val="0"/>
              <w:spacing w:after="0"/>
              <w:rPr>
                <w:rFonts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478" w:type="dxa"/>
            <w:gridSpan w:val="2"/>
            <w:vAlign w:val="center"/>
          </w:tcPr>
          <w:p>
            <w:pPr>
              <w:widowControl w:val="0"/>
              <w:spacing w:after="0"/>
              <w:rPr>
                <w:rFonts w:ascii="仿宋" w:hAnsi="仿宋" w:eastAsia="仿宋" w:cs="仿宋"/>
                <w:sz w:val="28"/>
                <w:szCs w:val="28"/>
              </w:rPr>
            </w:pPr>
            <w:r>
              <w:rPr>
                <w:rFonts w:hint="eastAsia" w:ascii="仿宋" w:hAnsi="仿宋" w:eastAsia="仿宋" w:cs="仿宋"/>
                <w:color w:val="000000"/>
                <w:sz w:val="24"/>
                <w:szCs w:val="24"/>
              </w:rPr>
              <w:t>等级说明</w:t>
            </w:r>
          </w:p>
        </w:tc>
        <w:tc>
          <w:tcPr>
            <w:tcW w:w="8761" w:type="dxa"/>
            <w:gridSpan w:val="5"/>
            <w:vAlign w:val="center"/>
          </w:tcPr>
          <w:p>
            <w:pPr>
              <w:widowControl w:val="0"/>
              <w:spacing w:after="0"/>
              <w:rPr>
                <w:rFonts w:ascii="仿宋" w:hAnsi="仿宋" w:eastAsia="仿宋" w:cs="仿宋"/>
                <w:sz w:val="18"/>
                <w:szCs w:val="18"/>
              </w:rPr>
            </w:pPr>
            <w:r>
              <w:rPr>
                <w:rFonts w:hint="eastAsia" w:ascii="仿宋" w:hAnsi="仿宋" w:eastAsia="仿宋" w:cs="仿宋"/>
                <w:color w:val="000000"/>
                <w:sz w:val="24"/>
                <w:szCs w:val="24"/>
              </w:rPr>
              <w:t>A等优秀；B等良好；C等合格，D等有待改进。</w:t>
            </w:r>
          </w:p>
        </w:tc>
      </w:tr>
    </w:tbl>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仿宋" w:hAnsi="仿宋" w:eastAsia="仿宋"/>
          <w:b/>
          <w:color w:val="auto"/>
          <w:sz w:val="28"/>
          <w:szCs w:val="28"/>
          <w:lang w:val="en-US" w:eastAsia="zh-CN"/>
        </w:rPr>
      </w:pPr>
      <w:r>
        <w:rPr>
          <w:rFonts w:hint="eastAsia" w:ascii="仿宋" w:hAnsi="仿宋" w:eastAsia="仿宋"/>
          <w:b/>
          <w:color w:val="auto"/>
          <w:sz w:val="28"/>
          <w:szCs w:val="28"/>
          <w:lang w:val="en-US" w:eastAsia="zh-CN"/>
        </w:rPr>
        <w:t>安全事项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eastAsia" w:ascii="仿宋" w:hAnsi="仿宋" w:eastAsia="仿宋"/>
          <w:b w:val="0"/>
          <w:bCs/>
          <w:color w:val="auto"/>
          <w:sz w:val="28"/>
          <w:szCs w:val="28"/>
          <w:lang w:val="en-US" w:eastAsia="zh-CN"/>
        </w:rPr>
        <w:t>1</w:t>
      </w:r>
      <w:r>
        <w:rPr>
          <w:rFonts w:hint="default" w:ascii="仿宋" w:hAnsi="仿宋" w:eastAsia="仿宋"/>
          <w:b w:val="0"/>
          <w:bCs/>
          <w:color w:val="auto"/>
          <w:sz w:val="28"/>
          <w:szCs w:val="28"/>
          <w:lang w:val="en-US" w:eastAsia="zh-CN"/>
        </w:rPr>
        <w:t>．坚持“安全第一、预防为主、综合治理”的安全生产指导方针，安全责任落实到人，层层把关，杜绝安全隐患。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2．电子监控已经实现景区全覆盖，总控进行巡查监督，保证指挥中心在调度上做出快速响应，做好紧急预案。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3．加强安全员持证上岗，安全员跟随班级活动，保障学生安全，并及时有效处理突发事件。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4．强化安全预案的编制和实施，做到安全预案人人知晓、人人过关。做好定期、不定期安全检查，签订层层安全责任状，强化安全问责制，有效预防安全隐患。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5．定期举办各类安全培训、救援与疏散预案的演练，使救援机制得到有效落实，确保安全管理目标的实现。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6．基地配置专业的医务室和医疗救护装备，可以最短时间给学生处理意外伤害，保证研学安全有序进行；情况严重的及时拨打110、120、119寻求援助，以最快的速度把受伤的学生送往就近的医院救治，并通知家长；重大事故的处理移交上级相关部门，并采取有效措施，积极做好善后处理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7．研学导师都是经过严格挑选，富有爱心、责任心，入职前统一接受专业培训，培训内容包括危机处理、儿童心理学及青少年辅导等。研学活动体验过程中，研学老师及安全员时刻提醒学生注意安全，并积极做好预防教育及措施，严禁在研学现场疯赶打闹，禁止进入危险区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8．旅游交通安全保障：旅游车、司机签约车队：专业公司空调旅游车，性能良好，并附有保险；司机具有有效驾驶牌照，有高度安全意识、举止有礼。禁止司机工作过劳而产生疲劳，影响行车安全。司机不可送团队到行程表内未列出之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val="0"/>
          <w:bCs/>
          <w:color w:val="auto"/>
          <w:sz w:val="28"/>
          <w:szCs w:val="28"/>
          <w:lang w:val="en-US" w:eastAsia="zh-CN"/>
        </w:rPr>
      </w:pPr>
      <w:r>
        <w:rPr>
          <w:rFonts w:hint="default" w:ascii="仿宋" w:hAnsi="仿宋" w:eastAsia="仿宋"/>
          <w:b w:val="0"/>
          <w:bCs/>
          <w:color w:val="auto"/>
          <w:sz w:val="28"/>
          <w:szCs w:val="28"/>
          <w:lang w:val="en-US" w:eastAsia="zh-CN"/>
        </w:rPr>
        <w:t>9．餐饮安全保障：提供研学的用餐地点有食品安全许可证，厨房卫生、消防设施合格，餐食标准符合接待研学团队条件，营养、安全、符合青少年口味。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b/>
          <w:color w:val="auto"/>
          <w:sz w:val="28"/>
          <w:szCs w:val="28"/>
          <w:lang w:val="en-US" w:eastAsia="zh-CN"/>
        </w:rPr>
      </w:pPr>
      <w:r>
        <w:rPr>
          <w:rFonts w:hint="default" w:ascii="仿宋" w:hAnsi="仿宋" w:eastAsia="仿宋"/>
          <w:b w:val="0"/>
          <w:bCs/>
          <w:color w:val="auto"/>
          <w:sz w:val="28"/>
          <w:szCs w:val="28"/>
          <w:lang w:val="en-US" w:eastAsia="zh-CN"/>
        </w:rPr>
        <w:t>备注：如遇因不可抗力造成的特殊情况，可临时适当调整课程内容。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CB76AF"/>
    <w:multiLevelType w:val="singleLevel"/>
    <w:tmpl w:val="AACB76AF"/>
    <w:lvl w:ilvl="0" w:tentative="0">
      <w:start w:val="1"/>
      <w:numFmt w:val="decimal"/>
      <w:suff w:val="nothing"/>
      <w:lvlText w:val="（%1）"/>
      <w:lvlJc w:val="left"/>
    </w:lvl>
  </w:abstractNum>
  <w:abstractNum w:abstractNumId="1">
    <w:nsid w:val="2B31363C"/>
    <w:multiLevelType w:val="multilevel"/>
    <w:tmpl w:val="2B31363C"/>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2">
    <w:nsid w:val="2BB62CE7"/>
    <w:multiLevelType w:val="multilevel"/>
    <w:tmpl w:val="2BB62CE7"/>
    <w:lvl w:ilvl="0" w:tentative="0">
      <w:start w:val="3"/>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3">
    <w:nsid w:val="7CFD4A83"/>
    <w:multiLevelType w:val="singleLevel"/>
    <w:tmpl w:val="7CFD4A83"/>
    <w:lvl w:ilvl="0" w:tentative="0">
      <w:start w:val="12"/>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D6299"/>
    <w:rsid w:val="006A0CC6"/>
    <w:rsid w:val="009204F9"/>
    <w:rsid w:val="012F3D9F"/>
    <w:rsid w:val="02060D99"/>
    <w:rsid w:val="02394AD8"/>
    <w:rsid w:val="02EA3FAA"/>
    <w:rsid w:val="03BD58A6"/>
    <w:rsid w:val="03D94624"/>
    <w:rsid w:val="03E27006"/>
    <w:rsid w:val="045A30EC"/>
    <w:rsid w:val="04E04909"/>
    <w:rsid w:val="060C015D"/>
    <w:rsid w:val="06266A98"/>
    <w:rsid w:val="06510DDE"/>
    <w:rsid w:val="068A6A4F"/>
    <w:rsid w:val="068E5E78"/>
    <w:rsid w:val="06B94188"/>
    <w:rsid w:val="06CD03DD"/>
    <w:rsid w:val="072677D6"/>
    <w:rsid w:val="077B0959"/>
    <w:rsid w:val="07D0617F"/>
    <w:rsid w:val="08BF641C"/>
    <w:rsid w:val="09756979"/>
    <w:rsid w:val="099D3DA7"/>
    <w:rsid w:val="09E45490"/>
    <w:rsid w:val="0A3E5543"/>
    <w:rsid w:val="0C047D1C"/>
    <w:rsid w:val="0CD3796A"/>
    <w:rsid w:val="0CD53695"/>
    <w:rsid w:val="0CEA5A07"/>
    <w:rsid w:val="0EC2486A"/>
    <w:rsid w:val="0EE10E9E"/>
    <w:rsid w:val="0F416A75"/>
    <w:rsid w:val="0F74470E"/>
    <w:rsid w:val="0FFD376A"/>
    <w:rsid w:val="10195536"/>
    <w:rsid w:val="10363287"/>
    <w:rsid w:val="113C22C3"/>
    <w:rsid w:val="1209537E"/>
    <w:rsid w:val="123553F1"/>
    <w:rsid w:val="129308EA"/>
    <w:rsid w:val="12995617"/>
    <w:rsid w:val="12A06D76"/>
    <w:rsid w:val="12F75F3E"/>
    <w:rsid w:val="130A1108"/>
    <w:rsid w:val="13F06130"/>
    <w:rsid w:val="14105177"/>
    <w:rsid w:val="14C031BA"/>
    <w:rsid w:val="1588258D"/>
    <w:rsid w:val="159F3053"/>
    <w:rsid w:val="17D41E6F"/>
    <w:rsid w:val="17E72432"/>
    <w:rsid w:val="18532F00"/>
    <w:rsid w:val="18557094"/>
    <w:rsid w:val="1864717F"/>
    <w:rsid w:val="18832ACC"/>
    <w:rsid w:val="189B66DE"/>
    <w:rsid w:val="19230C9B"/>
    <w:rsid w:val="196079D6"/>
    <w:rsid w:val="19E474FD"/>
    <w:rsid w:val="1A5E1200"/>
    <w:rsid w:val="1A602092"/>
    <w:rsid w:val="1AA82D44"/>
    <w:rsid w:val="1AD81ED2"/>
    <w:rsid w:val="1ADD2ECE"/>
    <w:rsid w:val="1B390DC8"/>
    <w:rsid w:val="1B723BED"/>
    <w:rsid w:val="1BB9405D"/>
    <w:rsid w:val="1DFD5414"/>
    <w:rsid w:val="1E936028"/>
    <w:rsid w:val="1EC5074C"/>
    <w:rsid w:val="1F292BD8"/>
    <w:rsid w:val="1FA93CDB"/>
    <w:rsid w:val="1FB44A1B"/>
    <w:rsid w:val="1FC23126"/>
    <w:rsid w:val="1FE10287"/>
    <w:rsid w:val="20843491"/>
    <w:rsid w:val="20F7640D"/>
    <w:rsid w:val="21357915"/>
    <w:rsid w:val="21856B87"/>
    <w:rsid w:val="21A27E07"/>
    <w:rsid w:val="220778DB"/>
    <w:rsid w:val="22571D8A"/>
    <w:rsid w:val="225C7DA9"/>
    <w:rsid w:val="22A52480"/>
    <w:rsid w:val="22DD42B6"/>
    <w:rsid w:val="234904DA"/>
    <w:rsid w:val="23E83062"/>
    <w:rsid w:val="23F52AA0"/>
    <w:rsid w:val="24130FC0"/>
    <w:rsid w:val="246065CF"/>
    <w:rsid w:val="24770ABF"/>
    <w:rsid w:val="249D32A0"/>
    <w:rsid w:val="2535620F"/>
    <w:rsid w:val="25722296"/>
    <w:rsid w:val="2581333F"/>
    <w:rsid w:val="25CA1DAB"/>
    <w:rsid w:val="26734EDF"/>
    <w:rsid w:val="271018C0"/>
    <w:rsid w:val="27442804"/>
    <w:rsid w:val="275E37F4"/>
    <w:rsid w:val="27E539B3"/>
    <w:rsid w:val="287D02DE"/>
    <w:rsid w:val="28C22173"/>
    <w:rsid w:val="28E86A53"/>
    <w:rsid w:val="28F86087"/>
    <w:rsid w:val="29300375"/>
    <w:rsid w:val="294500B9"/>
    <w:rsid w:val="29E505BC"/>
    <w:rsid w:val="29EC14AA"/>
    <w:rsid w:val="29F86F6C"/>
    <w:rsid w:val="2A467D64"/>
    <w:rsid w:val="2ACF2A23"/>
    <w:rsid w:val="2AFC72FD"/>
    <w:rsid w:val="2B156EBE"/>
    <w:rsid w:val="2B460442"/>
    <w:rsid w:val="2B5E383B"/>
    <w:rsid w:val="2B671D30"/>
    <w:rsid w:val="2B8673C3"/>
    <w:rsid w:val="2B912FCE"/>
    <w:rsid w:val="2C205816"/>
    <w:rsid w:val="2C41447B"/>
    <w:rsid w:val="2C4E31E3"/>
    <w:rsid w:val="2C59105E"/>
    <w:rsid w:val="2D935DAE"/>
    <w:rsid w:val="2DA32A73"/>
    <w:rsid w:val="2DB83265"/>
    <w:rsid w:val="2DBB3EFF"/>
    <w:rsid w:val="2E943BA7"/>
    <w:rsid w:val="2EBD51F4"/>
    <w:rsid w:val="2EC152A8"/>
    <w:rsid w:val="2F0151BD"/>
    <w:rsid w:val="2F2C63DB"/>
    <w:rsid w:val="2FCD1690"/>
    <w:rsid w:val="30976038"/>
    <w:rsid w:val="309F7B03"/>
    <w:rsid w:val="31B70828"/>
    <w:rsid w:val="32D13187"/>
    <w:rsid w:val="32FD2709"/>
    <w:rsid w:val="333C7D59"/>
    <w:rsid w:val="33756DA1"/>
    <w:rsid w:val="33C17286"/>
    <w:rsid w:val="33CD15A5"/>
    <w:rsid w:val="33DB189E"/>
    <w:rsid w:val="33F53DE3"/>
    <w:rsid w:val="34007BDD"/>
    <w:rsid w:val="34115ABC"/>
    <w:rsid w:val="347025E7"/>
    <w:rsid w:val="34BA3904"/>
    <w:rsid w:val="34D54B41"/>
    <w:rsid w:val="357C0730"/>
    <w:rsid w:val="3632011E"/>
    <w:rsid w:val="364863E1"/>
    <w:rsid w:val="367243DA"/>
    <w:rsid w:val="36810FA7"/>
    <w:rsid w:val="369C5C1B"/>
    <w:rsid w:val="36AA783D"/>
    <w:rsid w:val="37615933"/>
    <w:rsid w:val="37BB066B"/>
    <w:rsid w:val="380C77E5"/>
    <w:rsid w:val="38201F84"/>
    <w:rsid w:val="38CF0759"/>
    <w:rsid w:val="38D106AF"/>
    <w:rsid w:val="398302C9"/>
    <w:rsid w:val="39850593"/>
    <w:rsid w:val="39F01EB7"/>
    <w:rsid w:val="39F246C5"/>
    <w:rsid w:val="39FA6246"/>
    <w:rsid w:val="3A8712F8"/>
    <w:rsid w:val="3AF61D18"/>
    <w:rsid w:val="3B716733"/>
    <w:rsid w:val="3B9223AE"/>
    <w:rsid w:val="3B9D759C"/>
    <w:rsid w:val="3C3D6187"/>
    <w:rsid w:val="3D813B03"/>
    <w:rsid w:val="3D936337"/>
    <w:rsid w:val="3E4B734B"/>
    <w:rsid w:val="3E8B1D4B"/>
    <w:rsid w:val="3FC92CDF"/>
    <w:rsid w:val="408464A7"/>
    <w:rsid w:val="40967A39"/>
    <w:rsid w:val="40F1582D"/>
    <w:rsid w:val="41107B2F"/>
    <w:rsid w:val="411866A9"/>
    <w:rsid w:val="417233FD"/>
    <w:rsid w:val="41B503C8"/>
    <w:rsid w:val="422F40DC"/>
    <w:rsid w:val="42703136"/>
    <w:rsid w:val="42840629"/>
    <w:rsid w:val="42D95803"/>
    <w:rsid w:val="43817A3D"/>
    <w:rsid w:val="44713A93"/>
    <w:rsid w:val="450303BD"/>
    <w:rsid w:val="45326459"/>
    <w:rsid w:val="45AE0A01"/>
    <w:rsid w:val="478D37D0"/>
    <w:rsid w:val="47A31C70"/>
    <w:rsid w:val="486252EF"/>
    <w:rsid w:val="48CB0D43"/>
    <w:rsid w:val="4A84030F"/>
    <w:rsid w:val="4BB20626"/>
    <w:rsid w:val="4BC17C05"/>
    <w:rsid w:val="4BE146AD"/>
    <w:rsid w:val="4C0A47A4"/>
    <w:rsid w:val="4C644748"/>
    <w:rsid w:val="4D6E4B45"/>
    <w:rsid w:val="4F8B3034"/>
    <w:rsid w:val="4F8F7906"/>
    <w:rsid w:val="4FEF080E"/>
    <w:rsid w:val="507064E3"/>
    <w:rsid w:val="51613C71"/>
    <w:rsid w:val="51993135"/>
    <w:rsid w:val="51E12638"/>
    <w:rsid w:val="52847EA3"/>
    <w:rsid w:val="528B6E1B"/>
    <w:rsid w:val="52AB5386"/>
    <w:rsid w:val="531A23F5"/>
    <w:rsid w:val="531E4C78"/>
    <w:rsid w:val="53B2558B"/>
    <w:rsid w:val="53C979AD"/>
    <w:rsid w:val="53FA77F0"/>
    <w:rsid w:val="545951FB"/>
    <w:rsid w:val="552733F4"/>
    <w:rsid w:val="554C3466"/>
    <w:rsid w:val="558373D3"/>
    <w:rsid w:val="55BE590C"/>
    <w:rsid w:val="55E167E0"/>
    <w:rsid w:val="56072C4F"/>
    <w:rsid w:val="56403575"/>
    <w:rsid w:val="566A77C9"/>
    <w:rsid w:val="56AF5016"/>
    <w:rsid w:val="56D80FF7"/>
    <w:rsid w:val="57111730"/>
    <w:rsid w:val="57A31B49"/>
    <w:rsid w:val="57B3208A"/>
    <w:rsid w:val="57FA6093"/>
    <w:rsid w:val="584178CF"/>
    <w:rsid w:val="584E6682"/>
    <w:rsid w:val="58935C0C"/>
    <w:rsid w:val="58993789"/>
    <w:rsid w:val="58C73792"/>
    <w:rsid w:val="58CD2AE1"/>
    <w:rsid w:val="58EE53C5"/>
    <w:rsid w:val="5901373B"/>
    <w:rsid w:val="59440368"/>
    <w:rsid w:val="59525311"/>
    <w:rsid w:val="59D03034"/>
    <w:rsid w:val="5B07134B"/>
    <w:rsid w:val="5B6D3A3A"/>
    <w:rsid w:val="5D143754"/>
    <w:rsid w:val="5D174753"/>
    <w:rsid w:val="5D67071F"/>
    <w:rsid w:val="5DD72981"/>
    <w:rsid w:val="5E7737A3"/>
    <w:rsid w:val="5E967798"/>
    <w:rsid w:val="5E9710B2"/>
    <w:rsid w:val="5ECE5648"/>
    <w:rsid w:val="5EDA2307"/>
    <w:rsid w:val="5EE45D41"/>
    <w:rsid w:val="5EE83BEE"/>
    <w:rsid w:val="5FCA30D0"/>
    <w:rsid w:val="60052521"/>
    <w:rsid w:val="605B345A"/>
    <w:rsid w:val="616A27BD"/>
    <w:rsid w:val="617F103C"/>
    <w:rsid w:val="618B6A93"/>
    <w:rsid w:val="619F6114"/>
    <w:rsid w:val="61A21C9D"/>
    <w:rsid w:val="628F057A"/>
    <w:rsid w:val="63704540"/>
    <w:rsid w:val="63C04885"/>
    <w:rsid w:val="64105726"/>
    <w:rsid w:val="64C35117"/>
    <w:rsid w:val="64F732CC"/>
    <w:rsid w:val="65006AB9"/>
    <w:rsid w:val="65026B55"/>
    <w:rsid w:val="65215619"/>
    <w:rsid w:val="65C35CAA"/>
    <w:rsid w:val="6716165E"/>
    <w:rsid w:val="67247DCE"/>
    <w:rsid w:val="67872338"/>
    <w:rsid w:val="68035DBD"/>
    <w:rsid w:val="686154C4"/>
    <w:rsid w:val="68FB2E82"/>
    <w:rsid w:val="69213708"/>
    <w:rsid w:val="696A6232"/>
    <w:rsid w:val="69D939D1"/>
    <w:rsid w:val="69F837A5"/>
    <w:rsid w:val="69FA3DDC"/>
    <w:rsid w:val="6A536A43"/>
    <w:rsid w:val="6ABB4DAD"/>
    <w:rsid w:val="6AC23FE4"/>
    <w:rsid w:val="6C40387C"/>
    <w:rsid w:val="6C6725E7"/>
    <w:rsid w:val="6C69497D"/>
    <w:rsid w:val="6C7C6CBB"/>
    <w:rsid w:val="6D031F80"/>
    <w:rsid w:val="6DAC0F59"/>
    <w:rsid w:val="6DBC5A57"/>
    <w:rsid w:val="6E924D4F"/>
    <w:rsid w:val="6EF10440"/>
    <w:rsid w:val="6FA93912"/>
    <w:rsid w:val="700D7FFA"/>
    <w:rsid w:val="701A5FC6"/>
    <w:rsid w:val="708C64B8"/>
    <w:rsid w:val="70CE3275"/>
    <w:rsid w:val="711009A8"/>
    <w:rsid w:val="72015796"/>
    <w:rsid w:val="73716D77"/>
    <w:rsid w:val="737E40F1"/>
    <w:rsid w:val="73C73C41"/>
    <w:rsid w:val="748F12E9"/>
    <w:rsid w:val="74CE7C4A"/>
    <w:rsid w:val="759C6AB7"/>
    <w:rsid w:val="75BB5A27"/>
    <w:rsid w:val="765242DE"/>
    <w:rsid w:val="766D748C"/>
    <w:rsid w:val="76AF0026"/>
    <w:rsid w:val="77FE6DD5"/>
    <w:rsid w:val="780921C5"/>
    <w:rsid w:val="78181DC6"/>
    <w:rsid w:val="78292C07"/>
    <w:rsid w:val="78966F6B"/>
    <w:rsid w:val="78B05778"/>
    <w:rsid w:val="798D4A67"/>
    <w:rsid w:val="79DF39D6"/>
    <w:rsid w:val="79E12D69"/>
    <w:rsid w:val="7A657B6D"/>
    <w:rsid w:val="7A6F5C7C"/>
    <w:rsid w:val="7AA70A8E"/>
    <w:rsid w:val="7AC476FD"/>
    <w:rsid w:val="7B6751B3"/>
    <w:rsid w:val="7B707956"/>
    <w:rsid w:val="7BCF561B"/>
    <w:rsid w:val="7BE66A58"/>
    <w:rsid w:val="7BF04696"/>
    <w:rsid w:val="7C051AEF"/>
    <w:rsid w:val="7C1520AE"/>
    <w:rsid w:val="7C733A58"/>
    <w:rsid w:val="7C994B94"/>
    <w:rsid w:val="7CA40FE2"/>
    <w:rsid w:val="7D0D6774"/>
    <w:rsid w:val="7D386FA6"/>
    <w:rsid w:val="7DC65F84"/>
    <w:rsid w:val="7DF40A2B"/>
    <w:rsid w:val="7E2A3299"/>
    <w:rsid w:val="7E834247"/>
    <w:rsid w:val="7EEF2C96"/>
    <w:rsid w:val="7F8001F5"/>
    <w:rsid w:val="7FA83EF8"/>
    <w:rsid w:val="7FB1332B"/>
    <w:rsid w:val="7FB855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Office_11.1.0.9926_F1E327BC-269C-435d-A152-05C5408002CA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刘辉</dc:creator>
  <cp:lastModifiedBy>周斌</cp:lastModifiedBy>
  <dcterms:modified xsi:type="dcterms:W3CDTF">2020-09-20T02:48:59Z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