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仿宋" w:hAnsi="仿宋" w:eastAsia="仿宋" w:cs="仿宋"/>
          <w:b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b/>
          <w:sz w:val="44"/>
          <w:szCs w:val="44"/>
          <w:lang w:val="en-US" w:eastAsia="zh-CN"/>
        </w:rPr>
        <w:t>体验国学胜景（小学版）</w:t>
      </w:r>
    </w:p>
    <w:p>
      <w:pPr>
        <w:spacing w:line="360" w:lineRule="auto"/>
        <w:jc w:val="righ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-------布谷鸟</w:t>
      </w:r>
      <w:r>
        <w:rPr>
          <w:rFonts w:hint="eastAsia" w:ascii="仿宋" w:hAnsi="仿宋" w:eastAsia="仿宋" w:cs="仿宋"/>
          <w:sz w:val="28"/>
          <w:szCs w:val="28"/>
        </w:rPr>
        <w:t>研学旅行基地</w:t>
      </w:r>
    </w:p>
    <w:p>
      <w:pPr>
        <w:spacing w:line="360" w:lineRule="auto"/>
        <w:jc w:val="right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5268595" cy="3002280"/>
            <wp:effectExtent l="0" t="0" r="8255" b="7620"/>
            <wp:docPr id="5" name="图片 5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rFonts w:hint="eastAsia" w:ascii="仿宋" w:hAnsi="仿宋" w:eastAsia="仿宋" w:cs="仿宋"/>
          <w:b/>
          <w:sz w:val="28"/>
          <w:szCs w:val="28"/>
          <w:lang w:eastAsia="zh-CN"/>
        </w:rPr>
      </w:pPr>
    </w:p>
    <w:p>
      <w:pPr>
        <w:numPr>
          <w:ilvl w:val="0"/>
          <w:numId w:val="0"/>
        </w:numPr>
        <w:spacing w:line="360" w:lineRule="auto"/>
        <w:rPr>
          <w:rFonts w:hint="eastAsia" w:ascii="仿宋" w:hAnsi="仿宋" w:eastAsia="仿宋" w:cs="仿宋"/>
          <w:b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sz w:val="28"/>
          <w:szCs w:val="28"/>
          <w:lang w:eastAsia="zh-CN"/>
        </w:rPr>
        <w:t>一、</w:t>
      </w:r>
      <w:r>
        <w:rPr>
          <w:rFonts w:hint="eastAsia" w:ascii="仿宋" w:hAnsi="仿宋" w:eastAsia="仿宋" w:cs="仿宋"/>
          <w:b/>
          <w:sz w:val="28"/>
          <w:szCs w:val="28"/>
        </w:rPr>
        <w:t>课程名称：</w:t>
      </w: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>探太清秘境·品国学胜景</w:t>
      </w:r>
    </w:p>
    <w:p>
      <w:pPr>
        <w:numPr>
          <w:ilvl w:val="0"/>
          <w:numId w:val="0"/>
        </w:numPr>
        <w:spacing w:line="360" w:lineRule="auto"/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二、课程内容：</w:t>
      </w:r>
    </w:p>
    <w:p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《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探太清秘境·品国学胜景</w:t>
      </w:r>
      <w:r>
        <w:rPr>
          <w:rFonts w:hint="eastAsia" w:ascii="仿宋" w:hAnsi="仿宋" w:eastAsia="仿宋" w:cs="仿宋"/>
          <w:sz w:val="28"/>
          <w:szCs w:val="28"/>
        </w:rPr>
        <w:t>》太清洞景区充分结合洞内地质奇观独特，喀斯特地貌形成各种天然胜景，依托中华传统文化瑰宝，老子文化为开发主脉络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的文化课程</w:t>
      </w:r>
      <w:r>
        <w:rPr>
          <w:rFonts w:hint="eastAsia" w:ascii="仿宋" w:hAnsi="仿宋" w:eastAsia="仿宋" w:cs="仿宋"/>
          <w:sz w:val="28"/>
          <w:szCs w:val="28"/>
        </w:rPr>
        <w:t>。通过洞外的“太极池”、“八卦亭”、“白云桥”、“七德瀑”、“亲善池”、“青牛塑像”、“道德经竹简”等景点，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以及洞内的</w:t>
      </w:r>
      <w:r>
        <w:rPr>
          <w:rFonts w:hint="eastAsia" w:ascii="仿宋" w:hAnsi="仿宋" w:eastAsia="仿宋" w:cs="仿宋"/>
          <w:sz w:val="28"/>
          <w:szCs w:val="28"/>
        </w:rPr>
        <w:t>“老子问天”、“老子学院”、“三仙会弈”、“枕耳听琴”、“白玉寝宫”、“老庄讲道”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等一系列景观为引导，让大家在游览中</w:t>
      </w:r>
      <w:r>
        <w:rPr>
          <w:rFonts w:hint="eastAsia" w:ascii="仿宋" w:hAnsi="仿宋" w:eastAsia="仿宋" w:cs="仿宋"/>
          <w:sz w:val="28"/>
          <w:szCs w:val="28"/>
        </w:rPr>
        <w:t>研究学习。通过课程环节“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道德经的朗诵</w:t>
      </w:r>
      <w:r>
        <w:rPr>
          <w:rFonts w:hint="eastAsia" w:ascii="仿宋" w:hAnsi="仿宋" w:eastAsia="仿宋" w:cs="仿宋"/>
          <w:sz w:val="28"/>
          <w:szCs w:val="28"/>
        </w:rPr>
        <w:t>”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以及穿上“汉服”身临其境，从道德经中寻找成语等环节</w:t>
      </w:r>
      <w:r>
        <w:rPr>
          <w:rFonts w:hint="eastAsia" w:ascii="仿宋" w:hAnsi="仿宋" w:eastAsia="仿宋" w:cs="仿宋"/>
          <w:sz w:val="28"/>
          <w:szCs w:val="28"/>
        </w:rPr>
        <w:t>认知的了解中华文化综罗百代，广博精微，国学经典中蕴藏着中国五千年历史中的智慧精髓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sz w:val="28"/>
          <w:szCs w:val="28"/>
        </w:rPr>
        <w:t>传统经典文化是中华文明传承数千年的重要载体，内容博大精深，流传的经典浩如烟海。</w:t>
      </w:r>
    </w:p>
    <w:p>
      <w:pPr>
        <w:spacing w:line="360" w:lineRule="auto"/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三、课程目标：</w:t>
      </w:r>
    </w:p>
    <w:p>
      <w:pPr>
        <w:spacing w:line="360" w:lineRule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1. 价值体认：老子文化经典中承载的 “仁义忠恕孝悌礼信”的道德伦理观，构成中华传统文化的核心价值体系，通过体验式学习，加深传承中华传统美德的教育意义。</w:t>
      </w:r>
    </w:p>
    <w:p>
      <w:pPr>
        <w:spacing w:line="360" w:lineRule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2. 责任担当：学习了解老子及老子经典著作在中国乃至世界的巨大影响力，激发孩子学习传统文化的动力和兴趣，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传播中国文化的责任</w:t>
      </w:r>
      <w:r>
        <w:rPr>
          <w:rFonts w:hint="eastAsia" w:ascii="仿宋" w:hAnsi="仿宋" w:eastAsia="仿宋" w:cs="仿宋"/>
          <w:sz w:val="28"/>
          <w:szCs w:val="28"/>
        </w:rPr>
        <w:t>。</w:t>
      </w:r>
    </w:p>
    <w:p>
      <w:pPr>
        <w:tabs>
          <w:tab w:val="left" w:pos="1646"/>
        </w:tabs>
        <w:spacing w:line="360" w:lineRule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3. 问题解决：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通过对道德经等文化的学习，了解中国文化，学会与人相处的哲理</w:t>
      </w:r>
      <w:r>
        <w:rPr>
          <w:rFonts w:hint="eastAsia" w:ascii="仿宋" w:hAnsi="仿宋" w:eastAsia="仿宋" w:cs="仿宋"/>
          <w:sz w:val="28"/>
          <w:szCs w:val="28"/>
        </w:rPr>
        <w:t>。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  </w:t>
      </w:r>
    </w:p>
    <w:p>
      <w:pPr>
        <w:spacing w:line="360" w:lineRule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4. 创意物化：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穿上汉服浏览景区，身临其境，感受国学的魅力</w:t>
      </w:r>
      <w:r>
        <w:rPr>
          <w:rFonts w:hint="eastAsia" w:ascii="仿宋" w:hAnsi="仿宋" w:eastAsia="仿宋" w:cs="仿宋"/>
          <w:sz w:val="28"/>
          <w:szCs w:val="28"/>
        </w:rPr>
        <w:t>。</w:t>
      </w:r>
    </w:p>
    <w:p>
      <w:pPr>
        <w:spacing w:line="360" w:lineRule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四、课程时长：</w:t>
      </w:r>
      <w:r>
        <w:rPr>
          <w:rFonts w:hint="eastAsia" w:ascii="仿宋" w:hAnsi="仿宋" w:eastAsia="仿宋" w:cs="仿宋"/>
          <w:sz w:val="28"/>
          <w:szCs w:val="28"/>
        </w:rPr>
        <w:t>180分钟</w:t>
      </w:r>
    </w:p>
    <w:p>
      <w:pPr>
        <w:spacing w:line="360" w:lineRule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五、适合学段：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4</w:t>
      </w:r>
      <w:r>
        <w:rPr>
          <w:rFonts w:hint="eastAsia" w:ascii="仿宋" w:hAnsi="仿宋" w:eastAsia="仿宋" w:cs="仿宋"/>
          <w:sz w:val="28"/>
          <w:szCs w:val="28"/>
        </w:rPr>
        <w:t>-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6</w:t>
      </w:r>
      <w:r>
        <w:rPr>
          <w:rFonts w:hint="eastAsia" w:ascii="仿宋" w:hAnsi="仿宋" w:eastAsia="仿宋" w:cs="仿宋"/>
          <w:sz w:val="28"/>
          <w:szCs w:val="28"/>
        </w:rPr>
        <w:t>年级</w:t>
      </w:r>
    </w:p>
    <w:p>
      <w:pPr>
        <w:spacing w:line="360" w:lineRule="auto"/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sz w:val="28"/>
          <w:szCs w:val="28"/>
        </w:rPr>
        <w:t>六、实施地点：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太清洞景区以及动手实践课堂</w:t>
      </w:r>
    </w:p>
    <w:p>
      <w:pPr>
        <w:spacing w:line="360" w:lineRule="auto"/>
        <w:rPr>
          <w:rFonts w:hint="default" w:ascii="仿宋" w:hAnsi="仿宋" w:eastAsia="仿宋" w:cs="仿宋"/>
          <w:b w:val="0"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 w:val="0"/>
          <w:sz w:val="28"/>
          <w:szCs w:val="28"/>
          <w:lang w:val="en-US" w:eastAsia="zh-CN"/>
        </w:rPr>
        <w:t>七、接待规模：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50-100人</w:t>
      </w:r>
    </w:p>
    <w:p>
      <w:pPr>
        <w:spacing w:line="360" w:lineRule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  <w:lang w:eastAsia="zh-CN"/>
        </w:rPr>
        <w:t>八</w:t>
      </w:r>
      <w:r>
        <w:rPr>
          <w:rFonts w:hint="eastAsia" w:ascii="仿宋" w:hAnsi="仿宋" w:eastAsia="仿宋" w:cs="仿宋"/>
          <w:b/>
          <w:sz w:val="28"/>
          <w:szCs w:val="28"/>
        </w:rPr>
        <w:t>、人员配备：</w:t>
      </w:r>
      <w:r>
        <w:rPr>
          <w:rFonts w:hint="eastAsia" w:ascii="仿宋" w:hAnsi="仿宋" w:eastAsia="仿宋" w:cs="仿宋"/>
          <w:sz w:val="28"/>
          <w:szCs w:val="28"/>
        </w:rPr>
        <w:t>每班约50人配1名研学导师；1名助理导师；1名安全员</w:t>
      </w:r>
    </w:p>
    <w:p>
      <w:pPr>
        <w:spacing w:line="360" w:lineRule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sz w:val="28"/>
          <w:szCs w:val="28"/>
          <w:lang w:eastAsia="zh-CN"/>
        </w:rPr>
        <w:t>九</w:t>
      </w:r>
      <w:r>
        <w:rPr>
          <w:rFonts w:hint="eastAsia" w:ascii="仿宋" w:hAnsi="仿宋" w:eastAsia="仿宋" w:cs="仿宋"/>
          <w:b/>
          <w:sz w:val="28"/>
          <w:szCs w:val="28"/>
        </w:rPr>
        <w:t>、教学用具：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汉服、纸笔</w:t>
      </w:r>
    </w:p>
    <w:p>
      <w:pPr>
        <w:spacing w:line="360" w:lineRule="auto"/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  <w:lang w:eastAsia="zh-CN"/>
        </w:rPr>
        <w:t>十</w:t>
      </w:r>
      <w:r>
        <w:rPr>
          <w:rFonts w:hint="eastAsia" w:ascii="仿宋" w:hAnsi="仿宋" w:eastAsia="仿宋" w:cs="仿宋"/>
          <w:b/>
          <w:sz w:val="28"/>
          <w:szCs w:val="28"/>
        </w:rPr>
        <w:t>、教学流程：</w:t>
      </w:r>
    </w:p>
    <w:p>
      <w:pPr>
        <w:spacing w:line="360" w:lineRule="auto"/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1. 课程知识点导入（约2</w:t>
      </w: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>0</w:t>
      </w:r>
      <w:r>
        <w:rPr>
          <w:rFonts w:hint="eastAsia" w:ascii="仿宋" w:hAnsi="仿宋" w:eastAsia="仿宋" w:cs="仿宋"/>
          <w:b/>
          <w:sz w:val="28"/>
          <w:szCs w:val="28"/>
        </w:rPr>
        <w:t>分钟）：</w:t>
      </w:r>
    </w:p>
    <w:p>
      <w:pPr>
        <w:spacing w:line="360" w:lineRule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（1）.开营仪式后，课程实施老师集合对应课程班级，按照班级分组或报数分组的方式进行学习小组划分：以班级为单位，每个班级分成4个学习小队，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换上汉服，</w:t>
      </w:r>
      <w:r>
        <w:rPr>
          <w:rFonts w:hint="eastAsia" w:ascii="仿宋" w:hAnsi="仿宋" w:eastAsia="仿宋" w:cs="仿宋"/>
          <w:sz w:val="28"/>
          <w:szCs w:val="28"/>
        </w:rPr>
        <w:t>统一带队至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太清洞景区</w:t>
      </w:r>
      <w:r>
        <w:rPr>
          <w:rFonts w:hint="eastAsia" w:ascii="仿宋" w:hAnsi="仿宋" w:eastAsia="仿宋" w:cs="仿宋"/>
          <w:sz w:val="28"/>
          <w:szCs w:val="28"/>
        </w:rPr>
        <w:t>的教学点(约10分钟)。</w:t>
      </w:r>
    </w:p>
    <w:p>
      <w:pPr>
        <w:spacing w:line="360" w:lineRule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5266690" cy="3511550"/>
            <wp:effectExtent l="0" t="0" r="10160" b="12700"/>
            <wp:docPr id="2" name="图片 2" descr="885A9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85A969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sz w:val="28"/>
          <w:szCs w:val="28"/>
        </w:rPr>
      </w:pPr>
    </w:p>
    <w:p>
      <w:pPr>
        <w:spacing w:line="360" w:lineRule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.研学老师通过“太清洞”名字的由来，介绍老子文化，（老子曾在此悟道成仙，老子道号为太清，故名太清洞）。</w:t>
      </w:r>
    </w:p>
    <w:p>
      <w:pPr>
        <w:spacing w:line="360" w:lineRule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4" name="图片 4" descr="885A9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85A97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.布置学习任务：1.找到老子问天像，2.找出道德经中的成语。</w:t>
      </w:r>
    </w:p>
    <w:p>
      <w:pPr>
        <w:numPr>
          <w:ilvl w:val="0"/>
          <w:numId w:val="0"/>
        </w:numPr>
        <w:spacing w:line="360" w:lineRule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5266690" cy="3511550"/>
            <wp:effectExtent l="0" t="0" r="10160" b="12700"/>
            <wp:docPr id="3" name="图片 3" descr="885A9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85A971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2.研学任务实践探究（约120分钟）</w:t>
      </w:r>
    </w:p>
    <w:p>
      <w:pPr>
        <w:spacing w:line="360" w:lineRule="auto"/>
        <w:rPr>
          <w:rFonts w:hint="eastAsia" w:ascii="仿宋" w:hAnsi="仿宋" w:eastAsia="仿宋" w:cs="仿宋"/>
          <w:b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>1</w:t>
      </w:r>
      <w:r>
        <w:rPr>
          <w:rFonts w:hint="eastAsia" w:ascii="仿宋" w:hAnsi="仿宋" w:eastAsia="仿宋" w:cs="仿宋"/>
          <w:b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>.认知环节</w:t>
      </w:r>
    </w:p>
    <w:p>
      <w:pPr>
        <w:spacing w:line="360" w:lineRule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a.学习安全知识，强调纪律，分发学习卡,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换上汉服</w:t>
      </w:r>
      <w:r>
        <w:rPr>
          <w:rFonts w:hint="eastAsia" w:ascii="仿宋" w:hAnsi="仿宋" w:eastAsia="仿宋" w:cs="仿宋"/>
          <w:sz w:val="28"/>
          <w:szCs w:val="28"/>
        </w:rPr>
        <w:t>；</w:t>
      </w:r>
    </w:p>
    <w:p>
      <w:pPr>
        <w:spacing w:line="360" w:lineRule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b.在研学老师指导下到达指定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学习点，学习各学习点的知识，并做好记录；</w:t>
      </w:r>
    </w:p>
    <w:p>
      <w:pPr>
        <w:spacing w:line="360" w:lineRule="auto"/>
        <w:rPr>
          <w:rFonts w:hint="eastAsia" w:ascii="仿宋" w:hAnsi="仿宋" w:eastAsia="仿宋" w:cs="仿宋"/>
          <w:b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>2</w:t>
      </w:r>
      <w:r>
        <w:rPr>
          <w:rFonts w:hint="eastAsia" w:ascii="仿宋" w:hAnsi="仿宋" w:eastAsia="仿宋" w:cs="仿宋"/>
          <w:b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>.探索环节</w:t>
      </w:r>
    </w:p>
    <w:p>
      <w:pPr>
        <w:spacing w:line="360" w:lineRule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a.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带着问题走进景区，跟着老师一起去探求老子文化</w:t>
      </w:r>
      <w:r>
        <w:rPr>
          <w:rFonts w:hint="eastAsia" w:ascii="仿宋" w:hAnsi="仿宋" w:eastAsia="仿宋" w:cs="仿宋"/>
          <w:sz w:val="28"/>
          <w:szCs w:val="28"/>
        </w:rPr>
        <w:t>；</w:t>
      </w:r>
    </w:p>
    <w:p>
      <w:pPr>
        <w:spacing w:line="360" w:lineRule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b.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分享自己在探索的过程中看到的、学到的、以及自己寻找的问题答案；</w:t>
      </w:r>
    </w:p>
    <w:p>
      <w:pPr>
        <w:spacing w:line="360" w:lineRule="auto"/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(3).动手环节</w:t>
      </w:r>
    </w:p>
    <w:p>
      <w:pPr>
        <w:numPr>
          <w:ilvl w:val="0"/>
          <w:numId w:val="2"/>
        </w:numPr>
        <w:spacing w:line="360" w:lineRule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组织大家至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景区教室</w:t>
      </w:r>
      <w:r>
        <w:rPr>
          <w:rFonts w:hint="eastAsia" w:ascii="仿宋" w:hAnsi="仿宋" w:eastAsia="仿宋" w:cs="仿宋"/>
          <w:sz w:val="28"/>
          <w:szCs w:val="28"/>
        </w:rPr>
        <w:t>；</w:t>
      </w:r>
    </w:p>
    <w:p>
      <w:pPr>
        <w:numPr>
          <w:ilvl w:val="0"/>
          <w:numId w:val="2"/>
        </w:numPr>
        <w:spacing w:line="360" w:lineRule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一起学习和朗读老子名作《道德经》</w:t>
      </w:r>
      <w:r>
        <w:rPr>
          <w:rFonts w:hint="eastAsia" w:ascii="仿宋" w:hAnsi="仿宋" w:eastAsia="仿宋" w:cs="仿宋"/>
          <w:sz w:val="28"/>
          <w:szCs w:val="28"/>
        </w:rPr>
        <w:t>；</w:t>
      </w:r>
    </w:p>
    <w:p>
      <w:pPr>
        <w:numPr>
          <w:ilvl w:val="0"/>
          <w:numId w:val="2"/>
        </w:numPr>
        <w:spacing w:line="360" w:lineRule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领取研学工具，纸和笔；</w:t>
      </w:r>
    </w:p>
    <w:p>
      <w:pPr>
        <w:numPr>
          <w:ilvl w:val="0"/>
          <w:numId w:val="2"/>
        </w:numPr>
        <w:spacing w:line="360" w:lineRule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一起书写道德经。</w:t>
      </w:r>
    </w:p>
    <w:p>
      <w:pPr>
        <w:spacing w:line="360" w:lineRule="auto"/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3</w:t>
      </w: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>.</w:t>
      </w:r>
      <w:r>
        <w:rPr>
          <w:rFonts w:hint="eastAsia" w:ascii="仿宋" w:hAnsi="仿宋" w:eastAsia="仿宋" w:cs="仿宋"/>
          <w:b/>
          <w:sz w:val="28"/>
          <w:szCs w:val="28"/>
        </w:rPr>
        <w:t>研学成果展示（约20分钟）：</w:t>
      </w:r>
    </w:p>
    <w:p>
      <w:pPr>
        <w:numPr>
          <w:ilvl w:val="0"/>
          <w:numId w:val="3"/>
        </w:numPr>
        <w:spacing w:line="360" w:lineRule="auto"/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.统一集合，各组总结在今天的研学中，哪些表现的好哪里有不足；</w:t>
      </w:r>
    </w:p>
    <w:p>
      <w:pPr>
        <w:numPr>
          <w:ilvl w:val="0"/>
          <w:numId w:val="3"/>
        </w:numPr>
        <w:spacing w:line="360" w:lineRule="auto"/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.评选出今天最好的作品，并给予奖励.</w:t>
      </w:r>
    </w:p>
    <w:p>
      <w:pPr>
        <w:pStyle w:val="5"/>
        <w:ind w:firstLine="0" w:firstLineChars="0"/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十</w:t>
      </w:r>
      <w:r>
        <w:rPr>
          <w:rFonts w:hint="eastAsia" w:ascii="仿宋" w:hAnsi="仿宋" w:eastAsia="仿宋" w:cs="仿宋"/>
          <w:b/>
          <w:sz w:val="28"/>
          <w:szCs w:val="28"/>
          <w:lang w:eastAsia="zh-CN"/>
        </w:rPr>
        <w:t>一</w:t>
      </w:r>
      <w:r>
        <w:rPr>
          <w:rFonts w:hint="eastAsia" w:ascii="仿宋" w:hAnsi="仿宋" w:eastAsia="仿宋" w:cs="仿宋"/>
          <w:b/>
          <w:sz w:val="28"/>
          <w:szCs w:val="28"/>
        </w:rPr>
        <w:t>、教学评价：</w:t>
      </w:r>
    </w:p>
    <w:tbl>
      <w:tblPr>
        <w:tblStyle w:val="3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76"/>
        <w:gridCol w:w="15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</w:trPr>
        <w:tc>
          <w:tcPr>
            <w:tcW w:w="8522" w:type="dxa"/>
            <w:gridSpan w:val="2"/>
          </w:tcPr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说明：按照</w:t>
            </w: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A/B/C/D四个标准对该生在研学中的综合表现进行研学导师评价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76" w:type="dxa"/>
          </w:tcPr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积极的参与各项活动，严格遵守课堂纪律，积极的发言和做笔记，不善于提出自己的问题，成果展示有自己的创新</w:t>
            </w:r>
          </w:p>
        </w:tc>
        <w:tc>
          <w:tcPr>
            <w:tcW w:w="1546" w:type="dxa"/>
          </w:tcPr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6976" w:type="dxa"/>
          </w:tcPr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积极的参与各项活动，基本遵守课堂纪律，能够发言和做笔记，能提少量的问题，成果展示有局部创新</w:t>
            </w:r>
          </w:p>
        </w:tc>
        <w:tc>
          <w:tcPr>
            <w:tcW w:w="1546" w:type="dxa"/>
          </w:tcPr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76" w:type="dxa"/>
          </w:tcPr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积极的参与各项活动，基本遵守课堂纪律，很少发言，能够完成创作，没有创新</w:t>
            </w:r>
          </w:p>
        </w:tc>
        <w:tc>
          <w:tcPr>
            <w:tcW w:w="1546" w:type="dxa"/>
          </w:tcPr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6976" w:type="dxa"/>
          </w:tcPr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没有完整参与各项活动，不能遵守课堂纪律，不能完成自己的成果展示</w:t>
            </w:r>
          </w:p>
        </w:tc>
        <w:tc>
          <w:tcPr>
            <w:tcW w:w="1546" w:type="dxa"/>
          </w:tcPr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D</w:t>
            </w:r>
          </w:p>
        </w:tc>
      </w:tr>
    </w:tbl>
    <w:p>
      <w:pPr>
        <w:spacing w:line="360" w:lineRule="auto"/>
        <w:rPr>
          <w:rFonts w:hint="eastAsia" w:ascii="仿宋" w:hAnsi="仿宋" w:eastAsia="仿宋" w:cs="仿宋"/>
          <w:sz w:val="28"/>
          <w:szCs w:val="28"/>
        </w:rPr>
      </w:pPr>
    </w:p>
    <w:p>
      <w:pPr>
        <w:numPr>
          <w:ilvl w:val="0"/>
          <w:numId w:val="0"/>
        </w:numPr>
        <w:spacing w:line="360" w:lineRule="auto"/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十二</w:t>
      </w:r>
      <w:bookmarkStart w:id="0" w:name="_GoBack"/>
      <w:bookmarkEnd w:id="0"/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、应急预案：</w:t>
      </w:r>
    </w:p>
    <w:p>
      <w:pPr>
        <w:spacing w:line="360" w:lineRule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1.现场监控覆盖，现场研学导师实时关注课程动态，发现危险隐患及时叫停调整；</w:t>
      </w:r>
    </w:p>
    <w:p>
      <w:pPr>
        <w:spacing w:line="360" w:lineRule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2.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景区设有安全指示牌，并配有保安为研学保驾护航</w:t>
      </w:r>
      <w:r>
        <w:rPr>
          <w:rFonts w:hint="eastAsia" w:ascii="仿宋" w:hAnsi="仿宋" w:eastAsia="仿宋" w:cs="仿宋"/>
          <w:sz w:val="28"/>
          <w:szCs w:val="28"/>
        </w:rPr>
        <w:t>；</w:t>
      </w:r>
    </w:p>
    <w:p>
      <w:pPr>
        <w:numPr>
          <w:ilvl w:val="0"/>
          <w:numId w:val="0"/>
        </w:numPr>
        <w:spacing w:line="360" w:lineRule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3.现场工作人员协助进行安全管控且活动区域为封闭区域，确保安全无死角。</w:t>
      </w:r>
    </w:p>
    <w:p>
      <w:pPr>
        <w:numPr>
          <w:ilvl w:val="0"/>
          <w:numId w:val="0"/>
        </w:numPr>
        <w:spacing w:line="360" w:lineRule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4.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如果发生下雨等恶劣天气，参观完太清洞，将会把学生带到研学基地教室进行动手实践课，如果研学开展，景区将不会接待大型旅游团队。</w:t>
      </w:r>
    </w:p>
    <w:p>
      <w:pPr>
        <w:numPr>
          <w:ilvl w:val="0"/>
          <w:numId w:val="0"/>
        </w:numPr>
        <w:spacing w:line="360" w:lineRule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5.基地配有医务室，在研学的过程中配备有专门的小医药箱。</w:t>
      </w:r>
    </w:p>
    <w:p>
      <w:pPr>
        <w:spacing w:line="360" w:lineRule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spacing w:line="360" w:lineRule="auto"/>
        <w:rPr>
          <w:rFonts w:hint="eastAsia" w:ascii="仿宋" w:hAnsi="仿宋" w:eastAsia="仿宋" w:cs="仿宋"/>
          <w:b/>
          <w:sz w:val="28"/>
          <w:szCs w:val="28"/>
          <w:lang w:val="en-US" w:eastAsia="zh-CN"/>
        </w:rPr>
      </w:pPr>
    </w:p>
    <w:p>
      <w:pPr>
        <w:spacing w:line="360" w:lineRule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spacing w:line="360" w:lineRule="auto"/>
        <w:rPr>
          <w:rFonts w:hint="eastAsia" w:ascii="仿宋" w:hAnsi="仿宋" w:eastAsia="仿宋" w:cs="仿宋"/>
          <w:sz w:val="28"/>
          <w:szCs w:val="28"/>
        </w:rPr>
      </w:pPr>
    </w:p>
    <w:p>
      <w:pPr>
        <w:spacing w:line="360" w:lineRule="auto"/>
        <w:rPr>
          <w:rFonts w:hint="eastAsia" w:ascii="仿宋" w:hAnsi="仿宋" w:eastAsia="仿宋" w:cs="仿宋"/>
          <w:sz w:val="28"/>
          <w:szCs w:val="28"/>
        </w:rPr>
      </w:pPr>
    </w:p>
    <w:p>
      <w:pPr>
        <w:spacing w:line="360" w:lineRule="auto"/>
        <w:rPr>
          <w:rFonts w:hint="eastAsia" w:ascii="仿宋" w:hAnsi="仿宋" w:eastAsia="仿宋" w:cs="仿宋"/>
          <w:sz w:val="28"/>
          <w:szCs w:val="28"/>
        </w:rPr>
      </w:pPr>
    </w:p>
    <w:p>
      <w:pPr>
        <w:spacing w:line="360" w:lineRule="auto"/>
        <w:rPr>
          <w:rFonts w:hint="eastAsia" w:ascii="仿宋" w:hAnsi="仿宋" w:eastAsia="仿宋" w:cs="仿宋"/>
          <w:sz w:val="28"/>
          <w:szCs w:val="28"/>
        </w:rPr>
      </w:pPr>
    </w:p>
    <w:p>
      <w:pPr>
        <w:spacing w:line="360" w:lineRule="auto"/>
        <w:rPr>
          <w:rFonts w:hint="eastAsia" w:ascii="黑体" w:hAnsi="黑体" w:eastAsia="黑体"/>
          <w:szCs w:val="21"/>
        </w:rPr>
      </w:pPr>
    </w:p>
    <w:p>
      <w:pPr>
        <w:spacing w:line="360" w:lineRule="auto"/>
        <w:rPr>
          <w:rFonts w:hint="eastAsia" w:ascii="黑体" w:hAnsi="黑体" w:eastAsia="黑体"/>
          <w:szCs w:val="21"/>
        </w:rPr>
      </w:pPr>
    </w:p>
    <w:p>
      <w:pPr>
        <w:spacing w:line="360" w:lineRule="auto"/>
        <w:rPr>
          <w:rFonts w:hint="eastAsia" w:ascii="黑体" w:hAnsi="黑体" w:eastAsia="黑体"/>
          <w:szCs w:val="21"/>
        </w:rPr>
      </w:pPr>
    </w:p>
    <w:p>
      <w:pPr>
        <w:spacing w:line="360" w:lineRule="auto"/>
        <w:rPr>
          <w:rFonts w:hint="eastAsia" w:ascii="黑体" w:hAnsi="黑体" w:eastAsia="黑体"/>
          <w:szCs w:val="21"/>
        </w:rPr>
      </w:pPr>
    </w:p>
    <w:p>
      <w:pPr>
        <w:spacing w:line="360" w:lineRule="auto"/>
        <w:rPr>
          <w:rFonts w:hint="eastAsia" w:ascii="黑体" w:hAnsi="黑体" w:eastAsia="黑体"/>
          <w:szCs w:val="21"/>
        </w:rPr>
      </w:pPr>
    </w:p>
    <w:p>
      <w:pPr>
        <w:spacing w:line="360" w:lineRule="auto"/>
        <w:rPr>
          <w:rFonts w:hint="eastAsia" w:ascii="黑体" w:hAnsi="黑体" w:eastAsia="黑体"/>
          <w:szCs w:val="21"/>
        </w:rPr>
      </w:pPr>
    </w:p>
    <w:p>
      <w:pPr>
        <w:spacing w:line="360" w:lineRule="auto"/>
        <w:rPr>
          <w:rFonts w:hint="eastAsia" w:ascii="黑体" w:hAnsi="黑体" w:eastAsia="黑体"/>
          <w:szCs w:val="21"/>
        </w:rPr>
      </w:pPr>
    </w:p>
    <w:p>
      <w:pPr>
        <w:spacing w:line="360" w:lineRule="auto"/>
        <w:rPr>
          <w:rFonts w:hint="eastAsia" w:ascii="黑体" w:hAnsi="黑体" w:eastAsia="黑体"/>
          <w:sz w:val="24"/>
        </w:rPr>
      </w:pPr>
    </w:p>
    <w:p>
      <w:pPr>
        <w:spacing w:line="360" w:lineRule="auto"/>
        <w:rPr>
          <w:rFonts w:hint="eastAsia" w:ascii="黑体" w:hAnsi="黑体" w:eastAsia="黑体"/>
          <w:sz w:val="24"/>
        </w:rPr>
      </w:pPr>
    </w:p>
    <w:p>
      <w:pPr>
        <w:spacing w:line="360" w:lineRule="auto"/>
        <w:rPr>
          <w:rFonts w:hint="eastAsia" w:ascii="黑体" w:hAnsi="黑体" w:eastAsia="黑体"/>
          <w:sz w:val="24"/>
        </w:rPr>
      </w:pPr>
    </w:p>
    <w:p>
      <w:pPr>
        <w:spacing w:line="360" w:lineRule="auto"/>
        <w:rPr>
          <w:rFonts w:hint="eastAsia" w:ascii="黑体" w:hAnsi="黑体" w:eastAsia="黑体"/>
          <w:sz w:val="24"/>
        </w:rPr>
      </w:pPr>
    </w:p>
    <w:p>
      <w:pPr>
        <w:spacing w:line="360" w:lineRule="auto"/>
        <w:rPr>
          <w:rFonts w:hint="eastAsia" w:ascii="黑体" w:hAnsi="黑体" w:eastAsia="黑体"/>
          <w:sz w:val="24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spacing w:line="360" w:lineRule="auto"/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D06FD3"/>
    <w:multiLevelType w:val="singleLevel"/>
    <w:tmpl w:val="1AD06FD3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31A300AD"/>
    <w:multiLevelType w:val="multilevel"/>
    <w:tmpl w:val="31A300AD"/>
    <w:lvl w:ilvl="0" w:tentative="0">
      <w:start w:val="1"/>
      <w:numFmt w:val="lowerLetter"/>
      <w:lvlText w:val="%1.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2">
    <w:nsid w:val="6006A138"/>
    <w:multiLevelType w:val="singleLevel"/>
    <w:tmpl w:val="6006A138"/>
    <w:lvl w:ilvl="0" w:tentative="0">
      <w:start w:val="3"/>
      <w:numFmt w:val="decimal"/>
      <w:suff w:val="nothing"/>
      <w:lvlText w:val="（%1）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8ED586E"/>
    <w:rsid w:val="090D6AED"/>
    <w:rsid w:val="0CAB0207"/>
    <w:rsid w:val="213018C1"/>
    <w:rsid w:val="2A282BFE"/>
    <w:rsid w:val="39120545"/>
    <w:rsid w:val="39DC2B5A"/>
    <w:rsid w:val="44815A53"/>
    <w:rsid w:val="479C463E"/>
    <w:rsid w:val="58ED586E"/>
    <w:rsid w:val="6308345B"/>
    <w:rsid w:val="74DE5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5">
    <w:name w:val="List Paragraph"/>
    <w:basedOn w:val="1"/>
    <w:qFormat/>
    <w:uiPriority w:val="0"/>
    <w:pPr>
      <w:ind w:firstLine="420" w:firstLineChars="200"/>
    </w:pPr>
    <w:rPr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2020-08-28T08:44:00Z</dcterms:created>
  <dc:creator>Administrator</dc:creator>
  <cp:lastModifiedBy>灿颜 sun</cp:lastModifiedBy>
  <dcterms:modified xsi:type="dcterms:W3CDTF">2020-09-20T04:02:26Z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