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峡江号子多豪壮 土家哭嫁情动天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----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三峡人家研学</w:t>
      </w:r>
      <w:r>
        <w:rPr>
          <w:rFonts w:ascii="仿宋" w:hAnsi="仿宋" w:eastAsia="仿宋"/>
          <w:sz w:val="28"/>
          <w:szCs w:val="28"/>
        </w:rPr>
        <w:t>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b/>
          <w:sz w:val="28"/>
          <w:szCs w:val="28"/>
        </w:rPr>
        <w:t>一</w:t>
      </w:r>
      <w:r>
        <w:rPr>
          <w:rFonts w:hint="eastAsia" w:ascii="仿宋" w:hAnsi="仿宋" w:eastAsia="仿宋"/>
          <w:b/>
          <w:sz w:val="28"/>
          <w:szCs w:val="28"/>
        </w:rPr>
        <w:t>、</w:t>
      </w:r>
      <w:r>
        <w:rPr>
          <w:rFonts w:ascii="仿宋" w:hAnsi="仿宋" w:eastAsia="仿宋"/>
          <w:b/>
          <w:sz w:val="28"/>
          <w:szCs w:val="28"/>
        </w:rPr>
        <w:t>课程名称</w:t>
      </w:r>
      <w:r>
        <w:rPr>
          <w:rFonts w:hint="eastAsia" w:ascii="仿宋" w:hAnsi="仿宋" w:eastAsia="仿宋"/>
          <w:b/>
          <w:sz w:val="28"/>
          <w:szCs w:val="28"/>
        </w:rPr>
        <w:t>：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峡江号子多豪壮 土家哭嫁情动天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二</w:t>
      </w:r>
      <w:r>
        <w:rPr>
          <w:rFonts w:hint="eastAsia" w:ascii="仿宋" w:hAnsi="仿宋" w:eastAsia="仿宋"/>
          <w:b/>
          <w:sz w:val="28"/>
          <w:szCs w:val="28"/>
        </w:rPr>
        <w:t>、</w:t>
      </w:r>
      <w:r>
        <w:rPr>
          <w:rFonts w:ascii="仿宋" w:hAnsi="仿宋" w:eastAsia="仿宋"/>
          <w:b/>
          <w:sz w:val="28"/>
          <w:szCs w:val="28"/>
        </w:rPr>
        <w:t>课程内容</w:t>
      </w:r>
      <w:r>
        <w:rPr>
          <w:rFonts w:hint="eastAsia" w:ascii="仿宋" w:hAnsi="仿宋" w:eastAsia="仿宋"/>
          <w:b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/>
          <w:b w:val="0"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b w:val="0"/>
          <w:bCs/>
          <w:sz w:val="28"/>
          <w:szCs w:val="28"/>
          <w:lang w:val="en-US" w:eastAsia="zh-CN"/>
        </w:rPr>
        <w:t>长江是中华文明的发祥地之一，从远古的蛮荒，到人类利用复杂多样的自然环境顽强地生存和繁衍，在漫长的历史发展过程中，形成了丰富绚丽的文化。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/>
          <w:b w:val="0"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b w:val="0"/>
          <w:bCs/>
          <w:sz w:val="28"/>
          <w:szCs w:val="28"/>
          <w:lang w:val="en-US" w:eastAsia="zh-CN"/>
        </w:rPr>
        <w:t>走近长江，遇见三峡。在这堂课上，同学们通过观看“峡江号子”非遗表演，聆听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巴人的后裔—</w:t>
      </w:r>
      <w:r>
        <w:rPr>
          <w:rFonts w:hint="default" w:ascii="仿宋" w:hAnsi="仿宋" w:eastAsia="仿宋"/>
          <w:b w:val="0"/>
          <w:bCs/>
          <w:sz w:val="28"/>
          <w:szCs w:val="28"/>
          <w:lang w:val="en-US" w:eastAsia="zh-CN"/>
        </w:rPr>
        <w:t>土家人对唱高腔山歌，游览依山就势、逐水而居的土家族吊脚楼建筑群，了解具有浓郁地方民俗风情和乡土气息的土家生活形态，在自然山水里感受扑面而来的淳朴之风。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/>
          <w:b w:val="0"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b w:val="0"/>
          <w:bCs/>
          <w:sz w:val="28"/>
          <w:szCs w:val="28"/>
          <w:lang w:val="en-US" w:eastAsia="zh-CN"/>
        </w:rPr>
        <w:t>眼前的乌篷船，在小小竹筏上吹着长笛的土家阿哥，悠然自在地浮游在水面的农舍鸭鹅，高高悬挂在竹竿上的渔家罾[zēng]网，跃跃欲试的鱼鹰，咿咿呀呀转动着的古老的水车，用棒槌清洗衣服的生活方式以及土家传统的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哭</w:t>
      </w:r>
      <w:r>
        <w:rPr>
          <w:rFonts w:hint="default" w:ascii="仿宋" w:hAnsi="仿宋" w:eastAsia="仿宋"/>
          <w:b w:val="0"/>
          <w:bCs/>
          <w:sz w:val="28"/>
          <w:szCs w:val="28"/>
          <w:lang w:val="en-US" w:eastAsia="zh-CN"/>
        </w:rPr>
        <w:t>嫁习俗，共同组成了一本生动而立体的民俗文化活教材。通过可视、可听、可触的体感教学方式，使整个教学过程在轻松愉快、形象生动的自然环境和真实场景中进行。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重点：三峡在过去湾窄水急，船逆流而上时需要岸上纤夫齐心协力人力拉动，纤夫们创作出了峡江号子。通过峡江号子，给纤夫们下指令，统一纤夫的行动。土家人重离别，所以土家女儿在出嫁前，会和家里的亲人们一一抱头痛哭，表达难舍之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难点：峡江号子和土家哭嫁都远离现代生活，要代入那个年代和场景，慢慢融入。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课程目标</w:t>
      </w:r>
      <w:r>
        <w:rPr>
          <w:rFonts w:hint="eastAsia" w:ascii="仿宋" w:hAnsi="仿宋" w:eastAsia="仿宋"/>
          <w:b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价值认同：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如今机械驱动的船只往来江面，纤夫也早已不复存在。但纤夫们齐心协力，勇于拼搏的人文精神却流传了下来，激励着我们无论在任何时候都要克服困难，迎难而上。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责任担当：不断扩大优秀传统文化的知识面，从中获取传统文化知识的丰富营养，树立文化自信，增强中华民族自豪感，为弘扬传统文化，传承中华文明做出自己的贡献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问题解决：今天所学习的非物质文化、土家族民俗文化之间的共性是什么？它们是一个文化范畴吗？丰富灿烂的三峡文化还包含了哪些内容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？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创意物化：</w:t>
      </w:r>
      <w:r>
        <w:rPr>
          <w:rFonts w:hint="eastAsia" w:ascii="仿宋" w:hAnsi="仿宋" w:eastAsia="仿宋" w:cs="仿宋"/>
          <w:bCs/>
          <w:sz w:val="28"/>
          <w:szCs w:val="28"/>
        </w:rPr>
        <w:t>1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Cs/>
          <w:sz w:val="28"/>
          <w:szCs w:val="28"/>
        </w:rPr>
        <w:t>手工折纸帆船，为自己的帆船取一个响亮的名字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bCs/>
          <w:sz w:val="28"/>
          <w:szCs w:val="28"/>
        </w:rPr>
        <w:t>每位同学按照土家族民间剪纸的窗花样式剪出漂亮的窗花，贴在研学手册扉页里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四、课程时长：</w:t>
      </w:r>
      <w:r>
        <w:rPr>
          <w:rFonts w:hint="eastAsia" w:ascii="仿宋" w:hAnsi="仿宋" w:eastAsia="仿宋"/>
          <w:b w:val="0"/>
          <w:bCs/>
          <w:sz w:val="28"/>
          <w:szCs w:val="28"/>
        </w:rPr>
        <w:t>180分钟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>五、适合学段：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初、高中段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/>
          <w:b w:val="0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/>
          <w:b w:val="0"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b w:val="0"/>
          <w:bCs/>
          <w:sz w:val="28"/>
          <w:szCs w:val="28"/>
          <w:lang w:val="en-US" w:eastAsia="zh-CN"/>
        </w:rPr>
        <w:drawing>
          <wp:inline distT="0" distB="0" distL="114300" distR="114300">
            <wp:extent cx="5268595" cy="3089275"/>
            <wp:effectExtent l="0" t="0" r="8255" b="15875"/>
            <wp:docPr id="2" name="图片 2" descr="龙进溪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龙进溪21"/>
                    <pic:cNvPicPr>
                      <a:picLocks noChangeAspect="1"/>
                    </pic:cNvPicPr>
                  </pic:nvPicPr>
                  <pic:blipFill>
                    <a:blip r:embed="rId4"/>
                    <a:srcRect t="6352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0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>六、研学地点：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龙津溪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b w:val="0"/>
          <w:bCs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七、配备师资：</w:t>
      </w:r>
      <w:r>
        <w:rPr>
          <w:rFonts w:hint="eastAsia" w:ascii="仿宋" w:hAnsi="仿宋" w:eastAsia="仿宋"/>
          <w:b w:val="0"/>
          <w:bCs/>
          <w:sz w:val="28"/>
          <w:szCs w:val="28"/>
        </w:rPr>
        <w:t>每班配置1-2名研学导师、1名安全员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八、接待规模：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400人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九</w:t>
      </w:r>
      <w:r>
        <w:rPr>
          <w:rFonts w:hint="eastAsia" w:ascii="仿宋" w:hAnsi="仿宋" w:eastAsia="仿宋"/>
          <w:b/>
          <w:sz w:val="28"/>
          <w:szCs w:val="28"/>
        </w:rPr>
        <w:t>、研学用具：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纸、安全剪刀、胶水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十</w:t>
      </w:r>
      <w:r>
        <w:rPr>
          <w:rFonts w:hint="eastAsia" w:ascii="仿宋" w:hAnsi="仿宋" w:eastAsia="仿宋"/>
          <w:b/>
          <w:sz w:val="28"/>
          <w:szCs w:val="28"/>
        </w:rPr>
        <w:t>、研学流程：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/>
          <w:b w:val="0"/>
          <w:bCs w:val="0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课程知识点导入：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20分钟</w:t>
      </w:r>
      <w:r>
        <w:rPr>
          <w:rFonts w:hint="eastAsia" w:ascii="仿宋" w:hAnsi="仿宋" w:eastAsia="仿宋"/>
          <w:sz w:val="28"/>
          <w:szCs w:val="28"/>
          <w:lang w:eastAsia="zh-CN"/>
        </w:rPr>
        <w:t>）（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长江自古以来就是我国重要的黄金水道运输线，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在过去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，古老的三峡两岸绝壁高耸，峡谷幽深，水流湍急，到处布满了礁石和险滩。在没有机械设备的古代，船只往来，尤其是逆流而上，不仅要避开漩涡和礁石，还要避免搁浅在沙滩上，这就必须借助人力来拉纤，三峡自有木船通行起，江边便有纤夫存在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为了激发纤夫的体能和情绪，统一拉纤的节奏和动作，在艰苦的劳动中就产生了‘峡江号子’。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大家跟着号子动作整齐划一、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步调一致，齐心协力，唱号时江上喊声震天，几乎盖过了急流的咆哮声。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‘峡江号子’作为整个长江流域流传广泛、影响深远的民歌形式，于2008年载入第二批国家级非物质文化遗产名录。一会儿我们抵达龙津溪后，首先看到的就是由非遗传承人领演的‘峡江号子’非遗表演。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（2）土家族是中国历史悠久的一个民族，是巴人的后裔，至今还传承着传统的风俗，其中以土家婚嫁习俗最为独特。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/>
          <w:b w:val="0"/>
          <w:bCs w:val="0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研学任务实践探究：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/>
          <w:b w:val="0"/>
          <w:bCs w:val="0"/>
          <w:sz w:val="28"/>
          <w:szCs w:val="28"/>
        </w:rPr>
      </w:pPr>
      <w:r>
        <w:rPr>
          <w:rFonts w:ascii="仿宋" w:hAnsi="仿宋" w:eastAsia="仿宋" w:cs="仿宋"/>
          <w:bCs/>
          <w:sz w:val="28"/>
          <w:szCs w:val="28"/>
        </w:rPr>
        <w:drawing>
          <wp:inline distT="0" distB="0" distL="0" distR="0">
            <wp:extent cx="5255895" cy="3096260"/>
            <wp:effectExtent l="0" t="0" r="1905" b="8890"/>
            <wp:docPr id="10" name="图片 9" descr="DJI_02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DJI_0262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 t="11056" b="412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309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（30分钟）观赏国家级非物质文化遗产‘峡江号子’。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（40分钟）沿途观赏土家扳罾、棒槌洗衣，土家建筑吊脚楼、水车以及三峡生态独特的石菖蒲、泉水鱼、野生猕猴、黄龙瀑。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  <w:drawing>
          <wp:inline distT="0" distB="0" distL="0" distR="0">
            <wp:extent cx="5255895" cy="2953385"/>
            <wp:effectExtent l="0" t="0" r="1905" b="18415"/>
            <wp:docPr id="20" name="图片 10" descr="IMG_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0" descr="IMG_0008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295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（40分钟）观赏土家婚嫁表演。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/>
          <w:sz w:val="28"/>
          <w:szCs w:val="28"/>
        </w:rPr>
        <w:t>研学成果展示：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20分钟）（1）自古以来长江航运条件险恶，但从未阻挡人类扬帆起航，因为前路迢迢，却寄托了人们对生活的希望。现在每位同学进行手工折纸，折出自己心目中的帆船，并为帆船取一个响亮的名号，写在船身一侧，把“如果我是船长，我将、、、”将要怎样作为“船长宣言”记录在船身另一侧。选出同学代表大声说出自己的“船长宣言”，研学导师以“每个人都是自己的船长，在人生的长河中不断启航前行”为引导进行点评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20分钟）（2）土家族民间剪纸曾广泛存在于生产生活中，按其用途可分为生活礼俗、节日吉庆、民间仪式三大类。生活礼俗中的剪纸主要用于刺绣蓝本的绣花样式剪纸，根据服饰刺绣位置有角花、团花、背带花、围裙花、枕头花、鞋口花等多种形式。节日吉庆中的剪纸主要有花灯剪纸、船身剪纸、花灯戏扇子剪纸、手帕剪纸、婚礼中的各类喜花剪纸等。民间仪式中的剪纸有官钱、兵马旗、菊与寿等剪纸，是巫师们构建宗教气氛的重要手段。随着经济的发展和生活方式的改变，土家民间剪纸正濒临消失。学生根据图样进行剪纸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/>
          <w:sz w:val="28"/>
          <w:szCs w:val="28"/>
        </w:rPr>
        <w:t>研学效果评价：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（10分钟）听课是否认真，参与活动是否积极，折纸、剪纸作品是否优秀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十一、</w:t>
      </w:r>
      <w:r>
        <w:rPr>
          <w:rFonts w:ascii="仿宋" w:hAnsi="仿宋" w:eastAsia="仿宋"/>
          <w:b/>
          <w:sz w:val="28"/>
          <w:szCs w:val="28"/>
        </w:rPr>
        <w:t>研学评价</w:t>
      </w:r>
      <w:r>
        <w:rPr>
          <w:rFonts w:hint="eastAsia" w:ascii="仿宋" w:hAnsi="仿宋" w:eastAsia="仿宋"/>
          <w:b/>
          <w:sz w:val="28"/>
          <w:szCs w:val="28"/>
        </w:rPr>
        <w:t>：</w:t>
      </w:r>
    </w:p>
    <w:p>
      <w:pPr>
        <w:widowControl w:val="0"/>
        <w:numPr>
          <w:ilvl w:val="1"/>
          <w:numId w:val="3"/>
        </w:numPr>
        <w:spacing w:after="0"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学生评价</w:t>
      </w:r>
    </w:p>
    <w:p>
      <w:pPr>
        <w:widowControl w:val="0"/>
        <w:spacing w:after="0" w:line="360" w:lineRule="auto"/>
        <w:ind w:firstLine="422" w:firstLineChars="200"/>
        <w:jc w:val="center"/>
        <w:rPr>
          <w:rFonts w:ascii="仿宋" w:hAnsi="仿宋" w:eastAsia="仿宋" w:cs="宋体"/>
          <w:b/>
          <w:bCs/>
          <w:color w:val="000000"/>
          <w:szCs w:val="21"/>
        </w:rPr>
      </w:pPr>
      <w:r>
        <w:rPr>
          <w:rFonts w:hint="eastAsia" w:ascii="仿宋" w:hAnsi="仿宋" w:eastAsia="仿宋" w:cs="宋体"/>
          <w:b/>
          <w:bCs/>
          <w:color w:val="000000"/>
          <w:szCs w:val="21"/>
        </w:rPr>
        <w:t>三峡人家研学基地研学课程教学评价表</w:t>
      </w:r>
    </w:p>
    <w:tbl>
      <w:tblPr>
        <w:tblStyle w:val="2"/>
        <w:tblW w:w="86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2363"/>
        <w:gridCol w:w="2385"/>
        <w:gridCol w:w="667"/>
        <w:gridCol w:w="663"/>
        <w:gridCol w:w="663"/>
        <w:gridCol w:w="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5" w:hRule="atLeast"/>
        </w:trPr>
        <w:tc>
          <w:tcPr>
            <w:tcW w:w="5998" w:type="dxa"/>
            <w:gridSpan w:val="3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  <w:t>学校：</w:t>
            </w:r>
          </w:p>
        </w:tc>
        <w:tc>
          <w:tcPr>
            <w:tcW w:w="2673" w:type="dxa"/>
            <w:gridSpan w:val="4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  <w:t>学生姓名：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613" w:type="dxa"/>
            <w:gridSpan w:val="2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  <w:t>研学课程名称：</w:t>
            </w:r>
          </w:p>
        </w:tc>
        <w:tc>
          <w:tcPr>
            <w:tcW w:w="2385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  <w:t>研学时间：</w:t>
            </w:r>
          </w:p>
        </w:tc>
        <w:tc>
          <w:tcPr>
            <w:tcW w:w="2673" w:type="dxa"/>
            <w:gridSpan w:val="4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  <w:t>导师姓名：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指标</w:t>
            </w:r>
          </w:p>
        </w:tc>
        <w:tc>
          <w:tcPr>
            <w:tcW w:w="4748" w:type="dxa"/>
            <w:gridSpan w:val="2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评分标准</w:t>
            </w:r>
          </w:p>
        </w:tc>
        <w:tc>
          <w:tcPr>
            <w:tcW w:w="667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自评</w:t>
            </w:r>
          </w:p>
        </w:tc>
        <w:tc>
          <w:tcPr>
            <w:tcW w:w="663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互评</w:t>
            </w:r>
          </w:p>
        </w:tc>
        <w:tc>
          <w:tcPr>
            <w:tcW w:w="663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师评</w:t>
            </w:r>
          </w:p>
        </w:tc>
        <w:tc>
          <w:tcPr>
            <w:tcW w:w="680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综合等级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vMerge w:val="restart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课堂表现</w:t>
            </w:r>
          </w:p>
        </w:tc>
        <w:tc>
          <w:tcPr>
            <w:tcW w:w="4748" w:type="dxa"/>
            <w:gridSpan w:val="2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积极认领任务，积极思考、主动发言，勇于实践、敢于创新，发挥特长、团结合作。</w:t>
            </w:r>
          </w:p>
        </w:tc>
        <w:tc>
          <w:tcPr>
            <w:tcW w:w="667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680" w:type="dxa"/>
            <w:vMerge w:val="restart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vMerge w:val="continue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4748" w:type="dxa"/>
            <w:gridSpan w:val="2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主动关心和帮助同学，团队意识强，合作项目积极献言献策，并协助大家一起完成任务。</w:t>
            </w:r>
          </w:p>
        </w:tc>
        <w:tc>
          <w:tcPr>
            <w:tcW w:w="667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vMerge w:val="continue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4748" w:type="dxa"/>
            <w:gridSpan w:val="2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遵守课堂纪律，自觉服从研学导师的管理，听从指挥，维护大局、能协助老师管理</w:t>
            </w:r>
          </w:p>
        </w:tc>
        <w:tc>
          <w:tcPr>
            <w:tcW w:w="667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vMerge w:val="continue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4748" w:type="dxa"/>
            <w:gridSpan w:val="2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态度认真，准备充分，积极参与课堂活动，主动完成研学任务，有成果收获。</w:t>
            </w:r>
          </w:p>
        </w:tc>
        <w:tc>
          <w:tcPr>
            <w:tcW w:w="667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vMerge w:val="restart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文明礼仪</w:t>
            </w:r>
          </w:p>
        </w:tc>
        <w:tc>
          <w:tcPr>
            <w:tcW w:w="4748" w:type="dxa"/>
            <w:gridSpan w:val="2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乘车礼仪：有序上下车、不疯赶打闹、不窜座位、不乱扔废弃物，主动参与活动</w:t>
            </w:r>
          </w:p>
        </w:tc>
        <w:tc>
          <w:tcPr>
            <w:tcW w:w="667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vMerge w:val="continue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4748" w:type="dxa"/>
            <w:gridSpan w:val="2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公共礼仪：公共场所能注重个人礼仪规范，文明用语，不大声喧哗，爱护卫生，保护环境，</w:t>
            </w:r>
          </w:p>
        </w:tc>
        <w:tc>
          <w:tcPr>
            <w:tcW w:w="667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vMerge w:val="continue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4748" w:type="dxa"/>
            <w:gridSpan w:val="2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学生礼仪：严于律己，乐于助人，能够始终保持良好的学生形象。</w:t>
            </w:r>
          </w:p>
        </w:tc>
        <w:tc>
          <w:tcPr>
            <w:tcW w:w="667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vMerge w:val="continue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4748" w:type="dxa"/>
            <w:gridSpan w:val="2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就餐礼仪：依次就坐、不敲打碗筷、不挑不抢、吃饭不语、光盘行动</w:t>
            </w:r>
          </w:p>
        </w:tc>
        <w:tc>
          <w:tcPr>
            <w:tcW w:w="667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vMerge w:val="restart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安全意识</w:t>
            </w:r>
          </w:p>
        </w:tc>
        <w:tc>
          <w:tcPr>
            <w:tcW w:w="4748" w:type="dxa"/>
            <w:gridSpan w:val="2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乘车安全：系好安全带、不随意脱离座位、不将头手伸出车外、熟悉安全设施设备</w:t>
            </w:r>
          </w:p>
        </w:tc>
        <w:tc>
          <w:tcPr>
            <w:tcW w:w="667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vMerge w:val="continue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4748" w:type="dxa"/>
            <w:gridSpan w:val="2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课堂安全：有序参与各项研学实践活动，正确使用教学设备和设施，不伤及自己或他人</w:t>
            </w:r>
          </w:p>
        </w:tc>
        <w:tc>
          <w:tcPr>
            <w:tcW w:w="667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vMerge w:val="continue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4748" w:type="dxa"/>
            <w:gridSpan w:val="2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就餐安全：依次排队就餐、注意防滑、防烫、防明火、禁止在非正规经营点购买食品</w:t>
            </w:r>
          </w:p>
        </w:tc>
        <w:tc>
          <w:tcPr>
            <w:tcW w:w="667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vMerge w:val="continue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4748" w:type="dxa"/>
            <w:gridSpan w:val="2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景点安全：排队入园、文明游览、不脱离团队、听从导师安排、主动远离危险源、风险意识强、帮助同学提高安全意识</w:t>
            </w:r>
          </w:p>
        </w:tc>
        <w:tc>
          <w:tcPr>
            <w:tcW w:w="667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vMerge w:val="restart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szCs w:val="21"/>
              </w:rPr>
              <w:t>学习成果</w:t>
            </w:r>
          </w:p>
        </w:tc>
        <w:tc>
          <w:tcPr>
            <w:tcW w:w="4748" w:type="dxa"/>
            <w:gridSpan w:val="2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探究成果：认真完成研学课程布置的任务，认真收集学习资料和完成研学手册中拓展延伸的项目，能在研学中发现新问题。</w:t>
            </w:r>
          </w:p>
        </w:tc>
        <w:tc>
          <w:tcPr>
            <w:tcW w:w="667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vMerge w:val="continue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4748" w:type="dxa"/>
            <w:gridSpan w:val="2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学习效果：参与小组活动分享，形成学习记录。分享新颖、有创意，小组讨论及分享语言表达清晰、流畅，有自己见解</w:t>
            </w:r>
          </w:p>
        </w:tc>
        <w:tc>
          <w:tcPr>
            <w:tcW w:w="667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vMerge w:val="continue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4748" w:type="dxa"/>
            <w:gridSpan w:val="2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研学手册：认真完成研学手册，书写认真，记载完整。</w:t>
            </w:r>
          </w:p>
        </w:tc>
        <w:tc>
          <w:tcPr>
            <w:tcW w:w="667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1" w:type="dxa"/>
            <w:gridSpan w:val="7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评价标准：A 优秀； B 良好； C 合作；D 待改进</w:t>
            </w:r>
          </w:p>
        </w:tc>
      </w:tr>
    </w:tbl>
    <w:p>
      <w:pPr>
        <w:widowControl w:val="0"/>
        <w:spacing w:after="0" w:line="360" w:lineRule="auto"/>
        <w:ind w:firstLine="422" w:firstLineChars="200"/>
        <w:rPr>
          <w:rFonts w:ascii="仿宋" w:hAnsi="仿宋" w:eastAsia="仿宋" w:cs="宋体"/>
          <w:b/>
          <w:bCs/>
          <w:color w:val="000000"/>
          <w:szCs w:val="21"/>
        </w:rPr>
      </w:pPr>
    </w:p>
    <w:p>
      <w:pPr>
        <w:widowControl w:val="0"/>
        <w:numPr>
          <w:ilvl w:val="1"/>
          <w:numId w:val="3"/>
        </w:numPr>
        <w:spacing w:after="0"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基地评价</w:t>
      </w:r>
    </w:p>
    <w:p>
      <w:pPr>
        <w:widowControl w:val="0"/>
        <w:spacing w:after="0" w:line="360" w:lineRule="auto"/>
        <w:ind w:firstLine="422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szCs w:val="21"/>
        </w:rPr>
        <w:t>三峡人家研学基地评价表</w:t>
      </w:r>
    </w:p>
    <w:tbl>
      <w:tblPr>
        <w:tblStyle w:val="2"/>
        <w:tblW w:w="10239" w:type="dxa"/>
        <w:tblInd w:w="-8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012"/>
        <w:gridCol w:w="1749"/>
        <w:gridCol w:w="1830"/>
        <w:gridCol w:w="1773"/>
        <w:gridCol w:w="1716"/>
        <w:gridCol w:w="1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0" w:type="dxa"/>
            <w:gridSpan w:val="5"/>
            <w:vAlign w:val="center"/>
          </w:tcPr>
          <w:p>
            <w:pPr>
              <w:widowControl w:val="0"/>
              <w:spacing w:after="0"/>
              <w:ind w:right="-99" w:rightChars="-47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  <w:t>学校：</w:t>
            </w:r>
          </w:p>
        </w:tc>
        <w:tc>
          <w:tcPr>
            <w:tcW w:w="3409" w:type="dxa"/>
            <w:gridSpan w:val="2"/>
            <w:vAlign w:val="center"/>
          </w:tcPr>
          <w:p>
            <w:pPr>
              <w:widowControl w:val="0"/>
              <w:spacing w:after="0"/>
              <w:ind w:right="-99" w:rightChars="-47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  <w:t>研学时间：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0" w:type="dxa"/>
            <w:gridSpan w:val="5"/>
            <w:vAlign w:val="center"/>
          </w:tcPr>
          <w:p>
            <w:pPr>
              <w:widowControl w:val="0"/>
              <w:spacing w:after="0"/>
              <w:ind w:right="-99" w:rightChars="-47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  <w:t>研学课程名称：</w:t>
            </w:r>
          </w:p>
        </w:tc>
        <w:tc>
          <w:tcPr>
            <w:tcW w:w="3409" w:type="dxa"/>
            <w:gridSpan w:val="2"/>
            <w:vAlign w:val="center"/>
          </w:tcPr>
          <w:p>
            <w:pPr>
              <w:widowControl w:val="0"/>
              <w:spacing w:after="0"/>
              <w:ind w:right="-99" w:rightChars="-47"/>
              <w:rPr>
                <w:rFonts w:ascii="仿宋" w:hAnsi="仿宋" w:eastAsia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  <w:t>研学导师：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78" w:type="dxa"/>
            <w:gridSpan w:val="2"/>
            <w:vMerge w:val="restart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</w:t>
            </w:r>
          </w:p>
        </w:tc>
        <w:tc>
          <w:tcPr>
            <w:tcW w:w="1749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导师综合素质</w:t>
            </w:r>
          </w:p>
        </w:tc>
        <w:tc>
          <w:tcPr>
            <w:tcW w:w="1830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研学线路特色</w:t>
            </w:r>
          </w:p>
        </w:tc>
        <w:tc>
          <w:tcPr>
            <w:tcW w:w="1773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研学课程实施</w:t>
            </w:r>
          </w:p>
        </w:tc>
        <w:tc>
          <w:tcPr>
            <w:tcW w:w="1716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基地硬件环境</w:t>
            </w:r>
          </w:p>
        </w:tc>
        <w:tc>
          <w:tcPr>
            <w:tcW w:w="1693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研学安全保障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478" w:type="dxa"/>
            <w:gridSpan w:val="2"/>
            <w:vMerge w:val="continue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综合素质高</w:t>
            </w:r>
          </w:p>
          <w:p>
            <w:pPr>
              <w:widowControl w:val="0"/>
              <w:spacing w:after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文化知识储备丰富</w:t>
            </w:r>
          </w:p>
          <w:p>
            <w:pPr>
              <w:widowControl w:val="0"/>
              <w:spacing w:after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较强的课堂掌控力</w:t>
            </w:r>
          </w:p>
        </w:tc>
        <w:tc>
          <w:tcPr>
            <w:tcW w:w="1830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线路安排合理</w:t>
            </w:r>
          </w:p>
          <w:p>
            <w:pPr>
              <w:widowControl w:val="0"/>
              <w:spacing w:after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研学资源丰富</w:t>
            </w:r>
          </w:p>
          <w:p>
            <w:pPr>
              <w:widowControl w:val="0"/>
              <w:spacing w:after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独具宜昌特色</w:t>
            </w:r>
          </w:p>
        </w:tc>
        <w:tc>
          <w:tcPr>
            <w:tcW w:w="1773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课程实施流畅</w:t>
            </w:r>
          </w:p>
          <w:p>
            <w:pPr>
              <w:widowControl w:val="0"/>
              <w:spacing w:after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课程安排合理</w:t>
            </w:r>
          </w:p>
        </w:tc>
        <w:tc>
          <w:tcPr>
            <w:tcW w:w="1716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基地硬件设施完备</w:t>
            </w:r>
          </w:p>
          <w:p>
            <w:pPr>
              <w:widowControl w:val="0"/>
              <w:spacing w:after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研学环境舒适</w:t>
            </w:r>
          </w:p>
        </w:tc>
        <w:tc>
          <w:tcPr>
            <w:tcW w:w="1693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安全设施完备</w:t>
            </w:r>
          </w:p>
          <w:p>
            <w:pPr>
              <w:widowControl w:val="0"/>
              <w:spacing w:after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安全员配备合理</w:t>
            </w:r>
          </w:p>
          <w:p>
            <w:pPr>
              <w:widowControl w:val="0"/>
              <w:spacing w:after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安全预案完善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66" w:type="dxa"/>
            <w:vMerge w:val="restart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</w:t>
            </w:r>
          </w:p>
          <w:p>
            <w:pPr>
              <w:widowControl w:val="0"/>
              <w:spacing w:after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</w:t>
            </w:r>
          </w:p>
          <w:p>
            <w:pPr>
              <w:widowControl w:val="0"/>
              <w:spacing w:after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代</w:t>
            </w:r>
          </w:p>
          <w:p>
            <w:pPr>
              <w:widowControl w:val="0"/>
              <w:spacing w:after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表</w:t>
            </w:r>
          </w:p>
        </w:tc>
        <w:tc>
          <w:tcPr>
            <w:tcW w:w="1012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830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716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693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66" w:type="dxa"/>
            <w:vMerge w:val="continue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830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716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693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6" w:type="dxa"/>
            <w:vMerge w:val="continue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830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716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693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66" w:type="dxa"/>
            <w:vMerge w:val="continue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830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716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693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466" w:type="dxa"/>
            <w:vMerge w:val="continue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830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716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693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466" w:type="dxa"/>
            <w:vMerge w:val="restart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家长代表</w:t>
            </w:r>
          </w:p>
        </w:tc>
        <w:tc>
          <w:tcPr>
            <w:tcW w:w="1012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830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716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693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466" w:type="dxa"/>
            <w:vMerge w:val="continue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830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716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693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466" w:type="dxa"/>
            <w:vMerge w:val="restart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老师代表</w:t>
            </w:r>
          </w:p>
        </w:tc>
        <w:tc>
          <w:tcPr>
            <w:tcW w:w="1012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830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716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693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vMerge w:val="continue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830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716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693" w:type="dxa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6" w:hRule="atLeast"/>
        </w:trPr>
        <w:tc>
          <w:tcPr>
            <w:tcW w:w="1478" w:type="dxa"/>
            <w:gridSpan w:val="2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详细意见</w:t>
            </w:r>
          </w:p>
        </w:tc>
        <w:tc>
          <w:tcPr>
            <w:tcW w:w="8761" w:type="dxa"/>
            <w:gridSpan w:val="5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78" w:type="dxa"/>
            <w:gridSpan w:val="2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等级说明</w:t>
            </w:r>
          </w:p>
        </w:tc>
        <w:tc>
          <w:tcPr>
            <w:tcW w:w="8761" w:type="dxa"/>
            <w:gridSpan w:val="5"/>
            <w:vAlign w:val="center"/>
          </w:tcPr>
          <w:p>
            <w:pPr>
              <w:widowControl w:val="0"/>
              <w:spacing w:after="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A等优秀；B等良好；C等合格，D等有待改进。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b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lang w:val="en-US" w:eastAsia="zh-CN"/>
        </w:rPr>
        <w:t>安全事项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color w:val="auto"/>
          <w:sz w:val="28"/>
          <w:szCs w:val="28"/>
          <w:lang w:val="en-US" w:eastAsia="zh-CN"/>
        </w:rPr>
        <w:t>1</w:t>
      </w:r>
      <w:r>
        <w:rPr>
          <w:rFonts w:hint="default" w:ascii="仿宋" w:hAnsi="仿宋" w:eastAsia="仿宋"/>
          <w:b w:val="0"/>
          <w:bCs/>
          <w:color w:val="auto"/>
          <w:sz w:val="28"/>
          <w:szCs w:val="28"/>
          <w:lang w:val="en-US" w:eastAsia="zh-CN"/>
        </w:rPr>
        <w:t>．坚持“安全第一、预防为主、综合治理”的安全生产指导方针，安全责任落实到人，层层把关，杜绝安全隐患。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b w:val="0"/>
          <w:bCs/>
          <w:color w:val="auto"/>
          <w:sz w:val="28"/>
          <w:szCs w:val="28"/>
          <w:lang w:val="en-US" w:eastAsia="zh-CN"/>
        </w:rPr>
        <w:t>2．电子监控已经实现景区全覆盖，总控进行巡查监督，保证指挥中心在调度上做出快速响应，做好紧急预案。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b w:val="0"/>
          <w:bCs/>
          <w:color w:val="auto"/>
          <w:sz w:val="28"/>
          <w:szCs w:val="28"/>
          <w:lang w:val="en-US" w:eastAsia="zh-CN"/>
        </w:rPr>
        <w:t>3．加强安全员持证上岗，安全员跟随班级活动，保障学生安全，并及时有效处理突发事件。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b w:val="0"/>
          <w:bCs/>
          <w:color w:val="auto"/>
          <w:sz w:val="28"/>
          <w:szCs w:val="28"/>
          <w:lang w:val="en-US" w:eastAsia="zh-CN"/>
        </w:rPr>
        <w:t>4．强化安全预案的编制和实施，做到安全预案人人知晓、人人过关。做好定期、不定期安全检查，签订层层安全责任状，强化安全问责制，有效预防安全隐患。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b w:val="0"/>
          <w:bCs/>
          <w:color w:val="auto"/>
          <w:sz w:val="28"/>
          <w:szCs w:val="28"/>
          <w:lang w:val="en-US" w:eastAsia="zh-CN"/>
        </w:rPr>
        <w:t>5．定期举办各类安全培训、救援与疏散预案的演练，使救援机制得到有效落实，确保安全管理目标的实现。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b w:val="0"/>
          <w:bCs/>
          <w:color w:val="auto"/>
          <w:sz w:val="28"/>
          <w:szCs w:val="28"/>
          <w:lang w:val="en-US" w:eastAsia="zh-CN"/>
        </w:rPr>
        <w:t>6．基地配置专业的医务室和医疗救护装备，可以最短时间给学生处理意外伤害，保证研学安全有序进行；情况严重的及时拨打110、120、119寻求援助，以最快的速度把受伤的学生送往就近的医院救治，并通知家长；重大事故的处理移交上级相关部门，并采取有效措施，积极做好善后处理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b w:val="0"/>
          <w:bCs/>
          <w:color w:val="auto"/>
          <w:sz w:val="28"/>
          <w:szCs w:val="28"/>
          <w:lang w:val="en-US" w:eastAsia="zh-CN"/>
        </w:rPr>
        <w:t>7．研学导师都是经过严格挑选，富有爱心、责任心，入职前统一接受专业培训，培训内容包括危机处理、儿童心理学及青少年辅导等。研学活动体验过程中，研学老师及安全员时刻提醒学生注意安全，并积极做好预防教育及措施，严禁在研学现场疯赶打闹，禁止进入危险区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b w:val="0"/>
          <w:bCs/>
          <w:color w:val="auto"/>
          <w:sz w:val="28"/>
          <w:szCs w:val="28"/>
          <w:lang w:val="en-US" w:eastAsia="zh-CN"/>
        </w:rPr>
        <w:t>8．旅游交通安全保障：旅游车、司机签约车队：专业公司空调旅游车，性能良好，并附有保险；司机具有有效驾驶牌照，有高度安全意识、举止有礼。禁止司机工作过劳而产生疲劳，影响行车安全。司机不可送团队到行程表内未列出之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b w:val="0"/>
          <w:bCs/>
          <w:color w:val="auto"/>
          <w:sz w:val="28"/>
          <w:szCs w:val="28"/>
          <w:lang w:val="en-US" w:eastAsia="zh-CN"/>
        </w:rPr>
        <w:t>9．餐饮安全保障：提供研学的用餐地点有食品安全许可证，厨房卫生、消防设施合格，餐食标准符合接待研学团队条件，营养、安全、符合青少年口味。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/>
          <w:b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b w:val="0"/>
          <w:bCs/>
          <w:color w:val="auto"/>
          <w:sz w:val="28"/>
          <w:szCs w:val="28"/>
          <w:lang w:val="en-US" w:eastAsia="zh-CN"/>
        </w:rPr>
        <w:t>备注：如遇因不可抗力造成的特殊情况，可临时适当调整课程内容。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CB76AF"/>
    <w:multiLevelType w:val="singleLevel"/>
    <w:tmpl w:val="AACB76AF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2B31363C"/>
    <w:multiLevelType w:val="multilevel"/>
    <w:tmpl w:val="2B3136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abstractNum w:abstractNumId="2">
    <w:nsid w:val="2BB62CE7"/>
    <w:multiLevelType w:val="multilevel"/>
    <w:tmpl w:val="2BB62CE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abstractNum w:abstractNumId="3">
    <w:nsid w:val="7CFD4A83"/>
    <w:multiLevelType w:val="singleLevel"/>
    <w:tmpl w:val="7CFD4A83"/>
    <w:lvl w:ilvl="0" w:tentative="0">
      <w:start w:val="1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D6299"/>
    <w:rsid w:val="006A0CC6"/>
    <w:rsid w:val="012F3D9F"/>
    <w:rsid w:val="017B4021"/>
    <w:rsid w:val="017F3417"/>
    <w:rsid w:val="02060D99"/>
    <w:rsid w:val="02394AD8"/>
    <w:rsid w:val="02EA3FAA"/>
    <w:rsid w:val="02FF5857"/>
    <w:rsid w:val="03537684"/>
    <w:rsid w:val="03946B99"/>
    <w:rsid w:val="03BD58A6"/>
    <w:rsid w:val="045A30EC"/>
    <w:rsid w:val="046147D9"/>
    <w:rsid w:val="04E04909"/>
    <w:rsid w:val="058D4497"/>
    <w:rsid w:val="060C015D"/>
    <w:rsid w:val="061172B2"/>
    <w:rsid w:val="06266A98"/>
    <w:rsid w:val="06510DDE"/>
    <w:rsid w:val="068A6A4F"/>
    <w:rsid w:val="068E5E78"/>
    <w:rsid w:val="06CD03DD"/>
    <w:rsid w:val="06F6392A"/>
    <w:rsid w:val="07402ABF"/>
    <w:rsid w:val="07F13971"/>
    <w:rsid w:val="08BF641C"/>
    <w:rsid w:val="08F43114"/>
    <w:rsid w:val="099D3DA7"/>
    <w:rsid w:val="0A3E5543"/>
    <w:rsid w:val="0C8C63EE"/>
    <w:rsid w:val="0CD3796A"/>
    <w:rsid w:val="0CD53695"/>
    <w:rsid w:val="0CEA5A07"/>
    <w:rsid w:val="0D4573A0"/>
    <w:rsid w:val="0D4F0AC6"/>
    <w:rsid w:val="0DE035CC"/>
    <w:rsid w:val="0DF42F6D"/>
    <w:rsid w:val="0EB05265"/>
    <w:rsid w:val="0EC2486A"/>
    <w:rsid w:val="0EC47AEF"/>
    <w:rsid w:val="0F416A75"/>
    <w:rsid w:val="0FFD376A"/>
    <w:rsid w:val="10195536"/>
    <w:rsid w:val="10823D34"/>
    <w:rsid w:val="10DB6FEA"/>
    <w:rsid w:val="113C22C3"/>
    <w:rsid w:val="1209537E"/>
    <w:rsid w:val="12995617"/>
    <w:rsid w:val="12A06D76"/>
    <w:rsid w:val="12F56A28"/>
    <w:rsid w:val="1397553B"/>
    <w:rsid w:val="13F06130"/>
    <w:rsid w:val="14105177"/>
    <w:rsid w:val="142D5B2A"/>
    <w:rsid w:val="14DB7C5C"/>
    <w:rsid w:val="1588258D"/>
    <w:rsid w:val="15894D6A"/>
    <w:rsid w:val="159F3053"/>
    <w:rsid w:val="16A92092"/>
    <w:rsid w:val="17D41E6F"/>
    <w:rsid w:val="18557094"/>
    <w:rsid w:val="1864717F"/>
    <w:rsid w:val="18832ACC"/>
    <w:rsid w:val="18856293"/>
    <w:rsid w:val="189B66DE"/>
    <w:rsid w:val="19230C9B"/>
    <w:rsid w:val="1A075C1A"/>
    <w:rsid w:val="1A5E1200"/>
    <w:rsid w:val="1A602092"/>
    <w:rsid w:val="1AA82D44"/>
    <w:rsid w:val="1B0222D5"/>
    <w:rsid w:val="1B390DC8"/>
    <w:rsid w:val="1B6A679D"/>
    <w:rsid w:val="1B723BED"/>
    <w:rsid w:val="1BB9405D"/>
    <w:rsid w:val="1D7F1308"/>
    <w:rsid w:val="1DA46093"/>
    <w:rsid w:val="1EC5074C"/>
    <w:rsid w:val="1F292BD8"/>
    <w:rsid w:val="1FA93CDB"/>
    <w:rsid w:val="1FB44A1B"/>
    <w:rsid w:val="1FE10287"/>
    <w:rsid w:val="20843491"/>
    <w:rsid w:val="20C94BE1"/>
    <w:rsid w:val="20D37110"/>
    <w:rsid w:val="216B7F74"/>
    <w:rsid w:val="21856B87"/>
    <w:rsid w:val="218D3DA3"/>
    <w:rsid w:val="21A27E07"/>
    <w:rsid w:val="220778DB"/>
    <w:rsid w:val="227A6D7E"/>
    <w:rsid w:val="22A52480"/>
    <w:rsid w:val="234904DA"/>
    <w:rsid w:val="23E83062"/>
    <w:rsid w:val="23F34496"/>
    <w:rsid w:val="23F52AA0"/>
    <w:rsid w:val="24130FC0"/>
    <w:rsid w:val="252B5E9C"/>
    <w:rsid w:val="25722296"/>
    <w:rsid w:val="2581333F"/>
    <w:rsid w:val="25CA1DAB"/>
    <w:rsid w:val="2606244D"/>
    <w:rsid w:val="27E539B3"/>
    <w:rsid w:val="27F13DDA"/>
    <w:rsid w:val="28E86A53"/>
    <w:rsid w:val="290811DF"/>
    <w:rsid w:val="29300375"/>
    <w:rsid w:val="29EC14AA"/>
    <w:rsid w:val="2A467D64"/>
    <w:rsid w:val="2ACF2A23"/>
    <w:rsid w:val="2AFC72FD"/>
    <w:rsid w:val="2B460442"/>
    <w:rsid w:val="2B671D30"/>
    <w:rsid w:val="2B8673C3"/>
    <w:rsid w:val="2C205816"/>
    <w:rsid w:val="2C41447B"/>
    <w:rsid w:val="2C4E31E3"/>
    <w:rsid w:val="2C59105E"/>
    <w:rsid w:val="2DA32A73"/>
    <w:rsid w:val="2DB83265"/>
    <w:rsid w:val="2DBB3EFF"/>
    <w:rsid w:val="2E284EDC"/>
    <w:rsid w:val="2EBD51F4"/>
    <w:rsid w:val="2EC152A8"/>
    <w:rsid w:val="2F0151BD"/>
    <w:rsid w:val="2F9B58F5"/>
    <w:rsid w:val="304D47C4"/>
    <w:rsid w:val="309F7B03"/>
    <w:rsid w:val="31835C00"/>
    <w:rsid w:val="32FD2709"/>
    <w:rsid w:val="33CD15A5"/>
    <w:rsid w:val="33DB189E"/>
    <w:rsid w:val="33F14E23"/>
    <w:rsid w:val="340E54F0"/>
    <w:rsid w:val="34AF6561"/>
    <w:rsid w:val="34BA3904"/>
    <w:rsid w:val="34D54B41"/>
    <w:rsid w:val="34DC1937"/>
    <w:rsid w:val="34EA578B"/>
    <w:rsid w:val="357C0730"/>
    <w:rsid w:val="35C70450"/>
    <w:rsid w:val="3632011E"/>
    <w:rsid w:val="364863E1"/>
    <w:rsid w:val="367243DA"/>
    <w:rsid w:val="36810FA7"/>
    <w:rsid w:val="368230C6"/>
    <w:rsid w:val="369C5C1B"/>
    <w:rsid w:val="36AA783D"/>
    <w:rsid w:val="37007C4B"/>
    <w:rsid w:val="37510351"/>
    <w:rsid w:val="376832BF"/>
    <w:rsid w:val="37BB066B"/>
    <w:rsid w:val="380C77E5"/>
    <w:rsid w:val="38D106AF"/>
    <w:rsid w:val="398302C9"/>
    <w:rsid w:val="39850593"/>
    <w:rsid w:val="3A8712F8"/>
    <w:rsid w:val="3AF61D18"/>
    <w:rsid w:val="3B59214D"/>
    <w:rsid w:val="3B9223AE"/>
    <w:rsid w:val="3B9D759C"/>
    <w:rsid w:val="3C3D6187"/>
    <w:rsid w:val="3C9A74D7"/>
    <w:rsid w:val="3D427407"/>
    <w:rsid w:val="3D813B03"/>
    <w:rsid w:val="3D936337"/>
    <w:rsid w:val="3DAA5358"/>
    <w:rsid w:val="3DE64FF7"/>
    <w:rsid w:val="3DEC33F6"/>
    <w:rsid w:val="3E4B734B"/>
    <w:rsid w:val="3E8B1D4B"/>
    <w:rsid w:val="400A68B0"/>
    <w:rsid w:val="408464A7"/>
    <w:rsid w:val="40967A39"/>
    <w:rsid w:val="40F1582D"/>
    <w:rsid w:val="411866A9"/>
    <w:rsid w:val="422F40DC"/>
    <w:rsid w:val="42703136"/>
    <w:rsid w:val="42840629"/>
    <w:rsid w:val="435A5F12"/>
    <w:rsid w:val="450303BD"/>
    <w:rsid w:val="45AE0A01"/>
    <w:rsid w:val="462F0662"/>
    <w:rsid w:val="476A62AA"/>
    <w:rsid w:val="47A31C70"/>
    <w:rsid w:val="486252EF"/>
    <w:rsid w:val="495123F6"/>
    <w:rsid w:val="49AC75EA"/>
    <w:rsid w:val="4A84030F"/>
    <w:rsid w:val="4AA475DD"/>
    <w:rsid w:val="4B250A11"/>
    <w:rsid w:val="4BC17C05"/>
    <w:rsid w:val="4BE146AD"/>
    <w:rsid w:val="4BFF7280"/>
    <w:rsid w:val="4C3C6C7F"/>
    <w:rsid w:val="4C644748"/>
    <w:rsid w:val="4D616377"/>
    <w:rsid w:val="4D6E4B45"/>
    <w:rsid w:val="4F8B3034"/>
    <w:rsid w:val="4F8C7FCD"/>
    <w:rsid w:val="4FA27C51"/>
    <w:rsid w:val="4FEF080E"/>
    <w:rsid w:val="507064E3"/>
    <w:rsid w:val="514C0581"/>
    <w:rsid w:val="51613C71"/>
    <w:rsid w:val="528B6E1B"/>
    <w:rsid w:val="531A23F5"/>
    <w:rsid w:val="531E4C78"/>
    <w:rsid w:val="532D346F"/>
    <w:rsid w:val="53A40303"/>
    <w:rsid w:val="53B2558B"/>
    <w:rsid w:val="53FA77F0"/>
    <w:rsid w:val="545951FB"/>
    <w:rsid w:val="552733F4"/>
    <w:rsid w:val="554C3466"/>
    <w:rsid w:val="558373D3"/>
    <w:rsid w:val="55BE590C"/>
    <w:rsid w:val="56072C4F"/>
    <w:rsid w:val="56403575"/>
    <w:rsid w:val="56804938"/>
    <w:rsid w:val="56AF5016"/>
    <w:rsid w:val="57111730"/>
    <w:rsid w:val="57A31B49"/>
    <w:rsid w:val="584178CF"/>
    <w:rsid w:val="584E6682"/>
    <w:rsid w:val="58935C0C"/>
    <w:rsid w:val="58B01206"/>
    <w:rsid w:val="58C73792"/>
    <w:rsid w:val="58CD2AE1"/>
    <w:rsid w:val="59440368"/>
    <w:rsid w:val="59525311"/>
    <w:rsid w:val="59812B31"/>
    <w:rsid w:val="59D03034"/>
    <w:rsid w:val="5AFE3521"/>
    <w:rsid w:val="5B07134B"/>
    <w:rsid w:val="5D143754"/>
    <w:rsid w:val="5D174753"/>
    <w:rsid w:val="5DD72981"/>
    <w:rsid w:val="5E7737A3"/>
    <w:rsid w:val="5E967798"/>
    <w:rsid w:val="5E9710B2"/>
    <w:rsid w:val="5EB02BB1"/>
    <w:rsid w:val="5ECE5648"/>
    <w:rsid w:val="5EE83BEE"/>
    <w:rsid w:val="5FCA30D0"/>
    <w:rsid w:val="60052521"/>
    <w:rsid w:val="605B345A"/>
    <w:rsid w:val="60BB2273"/>
    <w:rsid w:val="60E862E8"/>
    <w:rsid w:val="616A27BD"/>
    <w:rsid w:val="617F103C"/>
    <w:rsid w:val="618B6A93"/>
    <w:rsid w:val="619572A1"/>
    <w:rsid w:val="619F6114"/>
    <w:rsid w:val="61A21C9D"/>
    <w:rsid w:val="63242FA9"/>
    <w:rsid w:val="63704540"/>
    <w:rsid w:val="63C04885"/>
    <w:rsid w:val="647759AC"/>
    <w:rsid w:val="64C35117"/>
    <w:rsid w:val="64F135BB"/>
    <w:rsid w:val="64F732CC"/>
    <w:rsid w:val="6716165E"/>
    <w:rsid w:val="67247DCE"/>
    <w:rsid w:val="67290C1A"/>
    <w:rsid w:val="67872338"/>
    <w:rsid w:val="696A6232"/>
    <w:rsid w:val="69D939D1"/>
    <w:rsid w:val="69FA3DDC"/>
    <w:rsid w:val="6A536A43"/>
    <w:rsid w:val="6ABC7E01"/>
    <w:rsid w:val="6B707815"/>
    <w:rsid w:val="6C69497D"/>
    <w:rsid w:val="6C7C6CBB"/>
    <w:rsid w:val="6D031F80"/>
    <w:rsid w:val="6DAC0F59"/>
    <w:rsid w:val="6DBC18ED"/>
    <w:rsid w:val="6DBC5A57"/>
    <w:rsid w:val="6DD91A6A"/>
    <w:rsid w:val="6E924D4F"/>
    <w:rsid w:val="6EF10440"/>
    <w:rsid w:val="6FA93912"/>
    <w:rsid w:val="700D7FFA"/>
    <w:rsid w:val="701A5FC6"/>
    <w:rsid w:val="708C64B8"/>
    <w:rsid w:val="70CE3275"/>
    <w:rsid w:val="72015796"/>
    <w:rsid w:val="728F1CC2"/>
    <w:rsid w:val="737B3D44"/>
    <w:rsid w:val="737E40F1"/>
    <w:rsid w:val="73C73C41"/>
    <w:rsid w:val="73EC3C08"/>
    <w:rsid w:val="74434B7E"/>
    <w:rsid w:val="748F12E9"/>
    <w:rsid w:val="74CE7C4A"/>
    <w:rsid w:val="756C6E23"/>
    <w:rsid w:val="759B5141"/>
    <w:rsid w:val="765242DE"/>
    <w:rsid w:val="766D748C"/>
    <w:rsid w:val="76AF0026"/>
    <w:rsid w:val="76CD527A"/>
    <w:rsid w:val="777A25AB"/>
    <w:rsid w:val="77EC1877"/>
    <w:rsid w:val="78292C07"/>
    <w:rsid w:val="7A6F5C7C"/>
    <w:rsid w:val="7A805D64"/>
    <w:rsid w:val="7AA70A8E"/>
    <w:rsid w:val="7B707956"/>
    <w:rsid w:val="7BF04696"/>
    <w:rsid w:val="7C2426C8"/>
    <w:rsid w:val="7C994B94"/>
    <w:rsid w:val="7CA40FE2"/>
    <w:rsid w:val="7CF130A4"/>
    <w:rsid w:val="7D0D6774"/>
    <w:rsid w:val="7D356AAE"/>
    <w:rsid w:val="7D386FA6"/>
    <w:rsid w:val="7D731C83"/>
    <w:rsid w:val="7DC65F84"/>
    <w:rsid w:val="7DF40A2B"/>
    <w:rsid w:val="7E04104F"/>
    <w:rsid w:val="7E2A3299"/>
    <w:rsid w:val="7E834247"/>
    <w:rsid w:val="7E8B10CC"/>
    <w:rsid w:val="7ED91474"/>
    <w:rsid w:val="7F2F3009"/>
    <w:rsid w:val="7F8001F5"/>
    <w:rsid w:val="7FA83EF8"/>
    <w:rsid w:val="7FB1332B"/>
    <w:rsid w:val="7FB855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刘辉</dc:creator>
  <cp:lastModifiedBy>周斌</cp:lastModifiedBy>
  <dcterms:modified xsi:type="dcterms:W3CDTF">2020-09-20T02:34:52Z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